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2E02" w:rsidRDefault="007F2E02">
      <w:bookmarkStart w:id="0" w:name="_GoBack"/>
      <w:bookmarkEnd w:id="0"/>
    </w:p>
    <w:p w:rsidR="007F2E02" w:rsidRDefault="007F2E02"/>
    <w:p w:rsidR="007F2E02" w:rsidRDefault="007F2E02"/>
    <w:p w:rsidR="007F2E02" w:rsidRDefault="007F2E02"/>
    <w:p w:rsidR="007F2E02" w:rsidRDefault="007F2E02"/>
    <w:p w:rsidR="007F2E02" w:rsidRDefault="007F2E02"/>
    <w:p w:rsidR="007F2E02" w:rsidRDefault="00ED2C2A">
      <w:pPr>
        <w:spacing w:before="200"/>
        <w:jc w:val="center"/>
      </w:pPr>
      <w:r>
        <w:rPr>
          <w:b/>
          <w:color w:val="6B6459"/>
          <w:sz w:val="20"/>
        </w:rPr>
        <w:t>CLARIVA · FREE TEMPLATE</w:t>
      </w:r>
    </w:p>
    <w:p w:rsidR="007F2E02" w:rsidRDefault="00ED2C2A">
      <w:pPr>
        <w:spacing w:before="160"/>
        <w:jc w:val="center"/>
      </w:pPr>
      <w:r>
        <w:rPr>
          <w:b/>
          <w:color w:val="1C3A2F"/>
          <w:sz w:val="56"/>
        </w:rPr>
        <w:t>Business Plan Template</w:t>
      </w:r>
    </w:p>
    <w:p w:rsidR="007F2E02" w:rsidRDefault="00ED2C2A">
      <w:pPr>
        <w:spacing w:before="80"/>
        <w:jc w:val="center"/>
      </w:pPr>
      <w:r>
        <w:rPr>
          <w:color w:val="2D6A4F"/>
          <w:sz w:val="30"/>
        </w:rPr>
        <w:t>For a Canadian bank, credit union or CSBFP loan</w:t>
      </w:r>
    </w:p>
    <w:p w:rsidR="007F2E02" w:rsidRDefault="00ED2C2A">
      <w:pPr>
        <w:spacing w:before="320"/>
        <w:jc w:val="center"/>
      </w:pPr>
      <w:r>
        <w:rPr>
          <w:sz w:val="22"/>
        </w:rPr>
        <w:t>The structure a credit desk expects, a note on what each part has to prove, and – the part no other template gives you – where every number comes from.</w:t>
      </w:r>
    </w:p>
    <w:p w:rsidR="007F2E02" w:rsidRDefault="00ED2C2A">
      <w:pPr>
        <w:spacing w:before="40"/>
        <w:jc w:val="center"/>
      </w:pPr>
      <w:r>
        <w:rPr>
          <w:color w:val="6B6459"/>
          <w:sz w:val="20"/>
        </w:rPr>
        <w:t>17</w:t>
      </w:r>
      <w:r>
        <w:rPr>
          <w:color w:val="6B6459"/>
          <w:sz w:val="20"/>
        </w:rPr>
        <w:t xml:space="preserve"> parts – the same document structure we deliver to lenders</w:t>
      </w:r>
    </w:p>
    <w:p w:rsidR="007F2E02" w:rsidRDefault="00ED2C2A">
      <w:pPr>
        <w:spacing w:before="40"/>
        <w:jc w:val="center"/>
      </w:pPr>
      <w:r>
        <w:rPr>
          <w:color w:val="6B6459"/>
          <w:sz w:val="20"/>
        </w:rPr>
        <w:t>5 questions – what the analyst is actually reading for, in order</w:t>
      </w:r>
    </w:p>
    <w:p w:rsidR="007F2E02" w:rsidRDefault="00ED2C2A">
      <w:pPr>
        <w:spacing w:before="40"/>
        <w:jc w:val="center"/>
      </w:pPr>
      <w:r>
        <w:rPr>
          <w:color w:val="6B6459"/>
          <w:sz w:val="20"/>
        </w:rPr>
        <w:t>0 figures – every number here is a placeholder that names its source</w:t>
      </w:r>
    </w:p>
    <w:p w:rsidR="007F2E02" w:rsidRDefault="00ED2C2A">
      <w:pPr>
        <w:spacing w:before="440"/>
        <w:jc w:val="center"/>
      </w:pPr>
      <w:r>
        <w:rPr>
          <w:color w:val="6B6459"/>
          <w:sz w:val="20"/>
        </w:rPr>
        <w:t>Version September 2026 · Word format · free to use and share</w:t>
      </w:r>
    </w:p>
    <w:p w:rsidR="007F2E02" w:rsidRDefault="00ED2C2A">
      <w:pPr>
        <w:spacing w:before="120"/>
        <w:jc w:val="center"/>
      </w:pPr>
      <w:r>
        <w:rPr>
          <w:color w:val="6B6459"/>
          <w:sz w:val="19"/>
        </w:rPr>
        <w:t>cl</w:t>
      </w:r>
      <w:r>
        <w:rPr>
          <w:color w:val="6B6459"/>
          <w:sz w:val="19"/>
        </w:rPr>
        <w:t>arivagroups.ca/business-plan-template</w:t>
      </w:r>
    </w:p>
    <w:p w:rsidR="007F2E02" w:rsidRDefault="00ED2C2A">
      <w:pPr>
        <w:spacing w:before="520"/>
        <w:jc w:val="center"/>
      </w:pPr>
      <w:r>
        <w:rPr>
          <w:b/>
          <w:color w:val="B4553F"/>
          <w:sz w:val="19"/>
        </w:rPr>
        <w:t>FREE TEMPLATE · NOT A GUARANTEE OF APPROVAL · CLARIVAGROUPS.CA</w:t>
      </w:r>
    </w:p>
    <w:p w:rsidR="007F2E02" w:rsidRDefault="00ED2C2A">
      <w:r>
        <w:br w:type="page"/>
      </w:r>
    </w:p>
    <w:p w:rsidR="007F2E02" w:rsidRDefault="00ED2C2A">
      <w:r>
        <w:rPr>
          <w:b/>
          <w:color w:val="1C3A2F"/>
          <w:sz w:val="32"/>
        </w:rPr>
        <w:lastRenderedPageBreak/>
        <w:t>CONTENTS</w:t>
      </w:r>
    </w:p>
    <w:p w:rsidR="00ED2C2A" w:rsidRDefault="00ED2C2A">
      <w:pPr>
        <w:pStyle w:val="TOC1"/>
        <w:tabs>
          <w:tab w:val="right" w:leader="dot" w:pos="9622"/>
        </w:tabs>
        <w:rPr>
          <w:rFonts w:asciiTheme="minorHAnsi" w:eastAsiaTheme="minorEastAsia" w:hAnsiTheme="minorHAnsi"/>
          <w:noProof/>
          <w:color w:val="auto"/>
          <w:sz w:val="22"/>
        </w:rPr>
      </w:pPr>
      <w:r>
        <w:fldChar w:fldCharType="begin"/>
      </w:r>
      <w:r>
        <w:instrText>TOC \o "1-1" \h \z \u</w:instrText>
      </w:r>
      <w:r>
        <w:fldChar w:fldCharType="separate"/>
      </w:r>
      <w:hyperlink w:anchor="_Toc240027426" w:history="1">
        <w:r w:rsidRPr="00161756">
          <w:rPr>
            <w:rStyle w:val="Hyperlink"/>
            <w:noProof/>
          </w:rPr>
          <w:t>How to use this template</w:t>
        </w:r>
        <w:r>
          <w:rPr>
            <w:noProof/>
            <w:webHidden/>
          </w:rPr>
          <w:tab/>
        </w:r>
        <w:r>
          <w:rPr>
            <w:noProof/>
            <w:webHidden/>
          </w:rPr>
          <w:fldChar w:fldCharType="begin"/>
        </w:r>
        <w:r>
          <w:rPr>
            <w:noProof/>
            <w:webHidden/>
          </w:rPr>
          <w:instrText xml:space="preserve"> PAGEREF _Toc240027426 \h </w:instrText>
        </w:r>
        <w:r>
          <w:rPr>
            <w:noProof/>
            <w:webHidden/>
          </w:rPr>
        </w:r>
        <w:r>
          <w:rPr>
            <w:noProof/>
            <w:webHidden/>
          </w:rPr>
          <w:fldChar w:fldCharType="separate"/>
        </w:r>
        <w:r>
          <w:rPr>
            <w:noProof/>
            <w:webHidden/>
          </w:rPr>
          <w:t>3</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27" w:history="1">
        <w:r w:rsidRPr="00161756">
          <w:rPr>
            <w:rStyle w:val="Hyperlink"/>
            <w:noProof/>
          </w:rPr>
          <w:t>Front matter</w:t>
        </w:r>
        <w:r>
          <w:rPr>
            <w:noProof/>
            <w:webHidden/>
          </w:rPr>
          <w:tab/>
        </w:r>
        <w:r>
          <w:rPr>
            <w:noProof/>
            <w:webHidden/>
          </w:rPr>
          <w:fldChar w:fldCharType="begin"/>
        </w:r>
        <w:r>
          <w:rPr>
            <w:noProof/>
            <w:webHidden/>
          </w:rPr>
          <w:instrText xml:space="preserve"> PAGEREF _Toc240027427 \h </w:instrText>
        </w:r>
        <w:r>
          <w:rPr>
            <w:noProof/>
            <w:webHidden/>
          </w:rPr>
        </w:r>
        <w:r>
          <w:rPr>
            <w:noProof/>
            <w:webHidden/>
          </w:rPr>
          <w:fldChar w:fldCharType="separate"/>
        </w:r>
        <w:r>
          <w:rPr>
            <w:noProof/>
            <w:webHidden/>
          </w:rPr>
          <w:t>4</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28" w:history="1">
        <w:r w:rsidRPr="00161756">
          <w:rPr>
            <w:rStyle w:val="Hyperlink"/>
            <w:noProof/>
          </w:rPr>
          <w:t>Part I · Executive Summary</w:t>
        </w:r>
        <w:r>
          <w:rPr>
            <w:noProof/>
            <w:webHidden/>
          </w:rPr>
          <w:tab/>
        </w:r>
        <w:r>
          <w:rPr>
            <w:noProof/>
            <w:webHidden/>
          </w:rPr>
          <w:fldChar w:fldCharType="begin"/>
        </w:r>
        <w:r>
          <w:rPr>
            <w:noProof/>
            <w:webHidden/>
          </w:rPr>
          <w:instrText xml:space="preserve"> PAGEREF _Toc240027428 \h </w:instrText>
        </w:r>
        <w:r>
          <w:rPr>
            <w:noProof/>
            <w:webHidden/>
          </w:rPr>
        </w:r>
        <w:r>
          <w:rPr>
            <w:noProof/>
            <w:webHidden/>
          </w:rPr>
          <w:fldChar w:fldCharType="separate"/>
        </w:r>
        <w:r>
          <w:rPr>
            <w:noProof/>
            <w:webHidden/>
          </w:rPr>
          <w:t>5</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29" w:history="1">
        <w:r w:rsidRPr="00161756">
          <w:rPr>
            <w:rStyle w:val="Hyperlink"/>
            <w:noProof/>
          </w:rPr>
          <w:t>Part II · Company Description</w:t>
        </w:r>
        <w:r>
          <w:rPr>
            <w:noProof/>
            <w:webHidden/>
          </w:rPr>
          <w:tab/>
        </w:r>
        <w:r>
          <w:rPr>
            <w:noProof/>
            <w:webHidden/>
          </w:rPr>
          <w:fldChar w:fldCharType="begin"/>
        </w:r>
        <w:r>
          <w:rPr>
            <w:noProof/>
            <w:webHidden/>
          </w:rPr>
          <w:instrText xml:space="preserve"> PAGEREF _Toc240027429 \h </w:instrText>
        </w:r>
        <w:r>
          <w:rPr>
            <w:noProof/>
            <w:webHidden/>
          </w:rPr>
        </w:r>
        <w:r>
          <w:rPr>
            <w:noProof/>
            <w:webHidden/>
          </w:rPr>
          <w:fldChar w:fldCharType="separate"/>
        </w:r>
        <w:r>
          <w:rPr>
            <w:noProof/>
            <w:webHidden/>
          </w:rPr>
          <w:t>7</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0" w:history="1">
        <w:r w:rsidRPr="00161756">
          <w:rPr>
            <w:rStyle w:val="Hyperlink"/>
            <w:noProof/>
          </w:rPr>
          <w:t>Part III · Products and Services</w:t>
        </w:r>
        <w:r>
          <w:rPr>
            <w:noProof/>
            <w:webHidden/>
          </w:rPr>
          <w:tab/>
        </w:r>
        <w:r>
          <w:rPr>
            <w:noProof/>
            <w:webHidden/>
          </w:rPr>
          <w:fldChar w:fldCharType="begin"/>
        </w:r>
        <w:r>
          <w:rPr>
            <w:noProof/>
            <w:webHidden/>
          </w:rPr>
          <w:instrText xml:space="preserve"> PAGEREF _Toc240027430 \h </w:instrText>
        </w:r>
        <w:r>
          <w:rPr>
            <w:noProof/>
            <w:webHidden/>
          </w:rPr>
        </w:r>
        <w:r>
          <w:rPr>
            <w:noProof/>
            <w:webHidden/>
          </w:rPr>
          <w:fldChar w:fldCharType="separate"/>
        </w:r>
        <w:r>
          <w:rPr>
            <w:noProof/>
            <w:webHidden/>
          </w:rPr>
          <w:t>9</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1" w:history="1">
        <w:r w:rsidRPr="00161756">
          <w:rPr>
            <w:rStyle w:val="Hyperlink"/>
            <w:noProof/>
          </w:rPr>
          <w:t>Part IV · Operations Plan</w:t>
        </w:r>
        <w:r>
          <w:rPr>
            <w:noProof/>
            <w:webHidden/>
          </w:rPr>
          <w:tab/>
        </w:r>
        <w:r>
          <w:rPr>
            <w:noProof/>
            <w:webHidden/>
          </w:rPr>
          <w:fldChar w:fldCharType="begin"/>
        </w:r>
        <w:r>
          <w:rPr>
            <w:noProof/>
            <w:webHidden/>
          </w:rPr>
          <w:instrText xml:space="preserve"> PAGEREF _Toc240027431 \h </w:instrText>
        </w:r>
        <w:r>
          <w:rPr>
            <w:noProof/>
            <w:webHidden/>
          </w:rPr>
        </w:r>
        <w:r>
          <w:rPr>
            <w:noProof/>
            <w:webHidden/>
          </w:rPr>
          <w:fldChar w:fldCharType="separate"/>
        </w:r>
        <w:r>
          <w:rPr>
            <w:noProof/>
            <w:webHidden/>
          </w:rPr>
          <w:t>10</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2" w:history="1">
        <w:r w:rsidRPr="00161756">
          <w:rPr>
            <w:rStyle w:val="Hyperlink"/>
            <w:noProof/>
          </w:rPr>
          <w:t>Part V · Market Analysis</w:t>
        </w:r>
        <w:r>
          <w:rPr>
            <w:noProof/>
            <w:webHidden/>
          </w:rPr>
          <w:tab/>
        </w:r>
        <w:r>
          <w:rPr>
            <w:noProof/>
            <w:webHidden/>
          </w:rPr>
          <w:fldChar w:fldCharType="begin"/>
        </w:r>
        <w:r>
          <w:rPr>
            <w:noProof/>
            <w:webHidden/>
          </w:rPr>
          <w:instrText xml:space="preserve"> PAGEREF _Toc240027432 \h </w:instrText>
        </w:r>
        <w:r>
          <w:rPr>
            <w:noProof/>
            <w:webHidden/>
          </w:rPr>
        </w:r>
        <w:r>
          <w:rPr>
            <w:noProof/>
            <w:webHidden/>
          </w:rPr>
          <w:fldChar w:fldCharType="separate"/>
        </w:r>
        <w:r>
          <w:rPr>
            <w:noProof/>
            <w:webHidden/>
          </w:rPr>
          <w:t>13</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3" w:history="1">
        <w:r w:rsidRPr="00161756">
          <w:rPr>
            <w:rStyle w:val="Hyperlink"/>
            <w:noProof/>
          </w:rPr>
          <w:t>Part VI · Competition and Positioning</w:t>
        </w:r>
        <w:r>
          <w:rPr>
            <w:noProof/>
            <w:webHidden/>
          </w:rPr>
          <w:tab/>
        </w:r>
        <w:r>
          <w:rPr>
            <w:noProof/>
            <w:webHidden/>
          </w:rPr>
          <w:fldChar w:fldCharType="begin"/>
        </w:r>
        <w:r>
          <w:rPr>
            <w:noProof/>
            <w:webHidden/>
          </w:rPr>
          <w:instrText xml:space="preserve"> PAGEREF _Toc240027433 \h </w:instrText>
        </w:r>
        <w:r>
          <w:rPr>
            <w:noProof/>
            <w:webHidden/>
          </w:rPr>
        </w:r>
        <w:r>
          <w:rPr>
            <w:noProof/>
            <w:webHidden/>
          </w:rPr>
          <w:fldChar w:fldCharType="separate"/>
        </w:r>
        <w:r>
          <w:rPr>
            <w:noProof/>
            <w:webHidden/>
          </w:rPr>
          <w:t>15</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4" w:history="1">
        <w:r w:rsidRPr="00161756">
          <w:rPr>
            <w:rStyle w:val="Hyperlink"/>
            <w:noProof/>
          </w:rPr>
          <w:t>Part VII · Marketing Strategy</w:t>
        </w:r>
        <w:r>
          <w:rPr>
            <w:noProof/>
            <w:webHidden/>
          </w:rPr>
          <w:tab/>
        </w:r>
        <w:r>
          <w:rPr>
            <w:noProof/>
            <w:webHidden/>
          </w:rPr>
          <w:fldChar w:fldCharType="begin"/>
        </w:r>
        <w:r>
          <w:rPr>
            <w:noProof/>
            <w:webHidden/>
          </w:rPr>
          <w:instrText xml:space="preserve"> PAGEREF _Toc240027434 \h </w:instrText>
        </w:r>
        <w:r>
          <w:rPr>
            <w:noProof/>
            <w:webHidden/>
          </w:rPr>
        </w:r>
        <w:r>
          <w:rPr>
            <w:noProof/>
            <w:webHidden/>
          </w:rPr>
          <w:fldChar w:fldCharType="separate"/>
        </w:r>
        <w:r>
          <w:rPr>
            <w:noProof/>
            <w:webHidden/>
          </w:rPr>
          <w:t>17</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5" w:history="1">
        <w:r w:rsidRPr="00161756">
          <w:rPr>
            <w:rStyle w:val="Hyperlink"/>
            <w:noProof/>
          </w:rPr>
          <w:t>Part VIII · Financial Model Methodology</w:t>
        </w:r>
        <w:r>
          <w:rPr>
            <w:noProof/>
            <w:webHidden/>
          </w:rPr>
          <w:tab/>
        </w:r>
        <w:r>
          <w:rPr>
            <w:noProof/>
            <w:webHidden/>
          </w:rPr>
          <w:fldChar w:fldCharType="begin"/>
        </w:r>
        <w:r>
          <w:rPr>
            <w:noProof/>
            <w:webHidden/>
          </w:rPr>
          <w:instrText xml:space="preserve"> PAGEREF _Toc240027435 \h </w:instrText>
        </w:r>
        <w:r>
          <w:rPr>
            <w:noProof/>
            <w:webHidden/>
          </w:rPr>
        </w:r>
        <w:r>
          <w:rPr>
            <w:noProof/>
            <w:webHidden/>
          </w:rPr>
          <w:fldChar w:fldCharType="separate"/>
        </w:r>
        <w:r>
          <w:rPr>
            <w:noProof/>
            <w:webHidden/>
          </w:rPr>
          <w:t>19</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6" w:history="1">
        <w:r w:rsidRPr="00161756">
          <w:rPr>
            <w:rStyle w:val="Hyperlink"/>
            <w:noProof/>
          </w:rPr>
          <w:t>Part IX · Key Assumptions and Inputs</w:t>
        </w:r>
        <w:r>
          <w:rPr>
            <w:noProof/>
            <w:webHidden/>
          </w:rPr>
          <w:tab/>
        </w:r>
        <w:r>
          <w:rPr>
            <w:noProof/>
            <w:webHidden/>
          </w:rPr>
          <w:fldChar w:fldCharType="begin"/>
        </w:r>
        <w:r>
          <w:rPr>
            <w:noProof/>
            <w:webHidden/>
          </w:rPr>
          <w:instrText xml:space="preserve"> PAGEREF _Toc240027436 \h </w:instrText>
        </w:r>
        <w:r>
          <w:rPr>
            <w:noProof/>
            <w:webHidden/>
          </w:rPr>
        </w:r>
        <w:r>
          <w:rPr>
            <w:noProof/>
            <w:webHidden/>
          </w:rPr>
          <w:fldChar w:fldCharType="separate"/>
        </w:r>
        <w:r>
          <w:rPr>
            <w:noProof/>
            <w:webHidden/>
          </w:rPr>
          <w:t>21</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7" w:history="1">
        <w:r w:rsidRPr="00161756">
          <w:rPr>
            <w:rStyle w:val="Hyperlink"/>
            <w:noProof/>
          </w:rPr>
          <w:t>Part X · Cost of Goods Sold and Unit Economics</w:t>
        </w:r>
        <w:r>
          <w:rPr>
            <w:noProof/>
            <w:webHidden/>
          </w:rPr>
          <w:tab/>
        </w:r>
        <w:r>
          <w:rPr>
            <w:noProof/>
            <w:webHidden/>
          </w:rPr>
          <w:fldChar w:fldCharType="begin"/>
        </w:r>
        <w:r>
          <w:rPr>
            <w:noProof/>
            <w:webHidden/>
          </w:rPr>
          <w:instrText xml:space="preserve"> PAGEREF _Toc240027437 \h </w:instrText>
        </w:r>
        <w:r>
          <w:rPr>
            <w:noProof/>
            <w:webHidden/>
          </w:rPr>
        </w:r>
        <w:r>
          <w:rPr>
            <w:noProof/>
            <w:webHidden/>
          </w:rPr>
          <w:fldChar w:fldCharType="separate"/>
        </w:r>
        <w:r>
          <w:rPr>
            <w:noProof/>
            <w:webHidden/>
          </w:rPr>
          <w:t>24</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8" w:history="1">
        <w:r w:rsidRPr="00161756">
          <w:rPr>
            <w:rStyle w:val="Hyperlink"/>
            <w:noProof/>
          </w:rPr>
          <w:t>Part XI · Operating Expenses</w:t>
        </w:r>
        <w:r>
          <w:rPr>
            <w:noProof/>
            <w:webHidden/>
          </w:rPr>
          <w:tab/>
        </w:r>
        <w:r>
          <w:rPr>
            <w:noProof/>
            <w:webHidden/>
          </w:rPr>
          <w:fldChar w:fldCharType="begin"/>
        </w:r>
        <w:r>
          <w:rPr>
            <w:noProof/>
            <w:webHidden/>
          </w:rPr>
          <w:instrText xml:space="preserve"> PAGEREF _Toc240027438 \h </w:instrText>
        </w:r>
        <w:r>
          <w:rPr>
            <w:noProof/>
            <w:webHidden/>
          </w:rPr>
        </w:r>
        <w:r>
          <w:rPr>
            <w:noProof/>
            <w:webHidden/>
          </w:rPr>
          <w:fldChar w:fldCharType="separate"/>
        </w:r>
        <w:r>
          <w:rPr>
            <w:noProof/>
            <w:webHidden/>
          </w:rPr>
          <w:t>26</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39" w:history="1">
        <w:r w:rsidRPr="00161756">
          <w:rPr>
            <w:rStyle w:val="Hyperlink"/>
            <w:noProof/>
          </w:rPr>
          <w:t>Part XII · Capital Expenditures and Depreciation</w:t>
        </w:r>
        <w:r>
          <w:rPr>
            <w:noProof/>
            <w:webHidden/>
          </w:rPr>
          <w:tab/>
        </w:r>
        <w:r>
          <w:rPr>
            <w:noProof/>
            <w:webHidden/>
          </w:rPr>
          <w:fldChar w:fldCharType="begin"/>
        </w:r>
        <w:r>
          <w:rPr>
            <w:noProof/>
            <w:webHidden/>
          </w:rPr>
          <w:instrText xml:space="preserve"> PAGEREF _Toc240027439 \h </w:instrText>
        </w:r>
        <w:r>
          <w:rPr>
            <w:noProof/>
            <w:webHidden/>
          </w:rPr>
        </w:r>
        <w:r>
          <w:rPr>
            <w:noProof/>
            <w:webHidden/>
          </w:rPr>
          <w:fldChar w:fldCharType="separate"/>
        </w:r>
        <w:r>
          <w:rPr>
            <w:noProof/>
            <w:webHidden/>
          </w:rPr>
          <w:t>28</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0" w:history="1">
        <w:r w:rsidRPr="00161756">
          <w:rPr>
            <w:rStyle w:val="Hyperlink"/>
            <w:noProof/>
          </w:rPr>
          <w:t>Part XIII · Working Capital</w:t>
        </w:r>
        <w:r>
          <w:rPr>
            <w:noProof/>
            <w:webHidden/>
          </w:rPr>
          <w:tab/>
        </w:r>
        <w:r>
          <w:rPr>
            <w:noProof/>
            <w:webHidden/>
          </w:rPr>
          <w:fldChar w:fldCharType="begin"/>
        </w:r>
        <w:r>
          <w:rPr>
            <w:noProof/>
            <w:webHidden/>
          </w:rPr>
          <w:instrText xml:space="preserve"> PAGEREF _Toc240027440 \h </w:instrText>
        </w:r>
        <w:r>
          <w:rPr>
            <w:noProof/>
            <w:webHidden/>
          </w:rPr>
        </w:r>
        <w:r>
          <w:rPr>
            <w:noProof/>
            <w:webHidden/>
          </w:rPr>
          <w:fldChar w:fldCharType="separate"/>
        </w:r>
        <w:r>
          <w:rPr>
            <w:noProof/>
            <w:webHidden/>
          </w:rPr>
          <w:t>30</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1" w:history="1">
        <w:r w:rsidRPr="00161756">
          <w:rPr>
            <w:rStyle w:val="Hyperlink"/>
            <w:noProof/>
          </w:rPr>
          <w:t>Part XIV · Financial Projections</w:t>
        </w:r>
        <w:r>
          <w:rPr>
            <w:noProof/>
            <w:webHidden/>
          </w:rPr>
          <w:tab/>
        </w:r>
        <w:r>
          <w:rPr>
            <w:noProof/>
            <w:webHidden/>
          </w:rPr>
          <w:fldChar w:fldCharType="begin"/>
        </w:r>
        <w:r>
          <w:rPr>
            <w:noProof/>
            <w:webHidden/>
          </w:rPr>
          <w:instrText xml:space="preserve"> PAGEREF _Toc240027441 \h </w:instrText>
        </w:r>
        <w:r>
          <w:rPr>
            <w:noProof/>
            <w:webHidden/>
          </w:rPr>
        </w:r>
        <w:r>
          <w:rPr>
            <w:noProof/>
            <w:webHidden/>
          </w:rPr>
          <w:fldChar w:fldCharType="separate"/>
        </w:r>
        <w:r>
          <w:rPr>
            <w:noProof/>
            <w:webHidden/>
          </w:rPr>
          <w:t>31</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2" w:history="1">
        <w:r w:rsidRPr="00161756">
          <w:rPr>
            <w:rStyle w:val="Hyperlink"/>
            <w:noProof/>
          </w:rPr>
          <w:t>Part XV · Funding Request</w:t>
        </w:r>
        <w:r>
          <w:rPr>
            <w:noProof/>
            <w:webHidden/>
          </w:rPr>
          <w:tab/>
        </w:r>
        <w:r>
          <w:rPr>
            <w:noProof/>
            <w:webHidden/>
          </w:rPr>
          <w:fldChar w:fldCharType="begin"/>
        </w:r>
        <w:r>
          <w:rPr>
            <w:noProof/>
            <w:webHidden/>
          </w:rPr>
          <w:instrText xml:space="preserve"> PAGEREF _Toc240027442 \h </w:instrText>
        </w:r>
        <w:r>
          <w:rPr>
            <w:noProof/>
            <w:webHidden/>
          </w:rPr>
        </w:r>
        <w:r>
          <w:rPr>
            <w:noProof/>
            <w:webHidden/>
          </w:rPr>
          <w:fldChar w:fldCharType="separate"/>
        </w:r>
        <w:r>
          <w:rPr>
            <w:noProof/>
            <w:webHidden/>
          </w:rPr>
          <w:t>35</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3" w:history="1">
        <w:r w:rsidRPr="00161756">
          <w:rPr>
            <w:rStyle w:val="Hyperlink"/>
            <w:noProof/>
          </w:rPr>
          <w:t>Part XVI · Risks and Mitigants</w:t>
        </w:r>
        <w:r>
          <w:rPr>
            <w:noProof/>
            <w:webHidden/>
          </w:rPr>
          <w:tab/>
        </w:r>
        <w:r>
          <w:rPr>
            <w:noProof/>
            <w:webHidden/>
          </w:rPr>
          <w:fldChar w:fldCharType="begin"/>
        </w:r>
        <w:r>
          <w:rPr>
            <w:noProof/>
            <w:webHidden/>
          </w:rPr>
          <w:instrText xml:space="preserve"> PAGEREF _Toc240027443 \h </w:instrText>
        </w:r>
        <w:r>
          <w:rPr>
            <w:noProof/>
            <w:webHidden/>
          </w:rPr>
        </w:r>
        <w:r>
          <w:rPr>
            <w:noProof/>
            <w:webHidden/>
          </w:rPr>
          <w:fldChar w:fldCharType="separate"/>
        </w:r>
        <w:r>
          <w:rPr>
            <w:noProof/>
            <w:webHidden/>
          </w:rPr>
          <w:t>37</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4" w:history="1">
        <w:r w:rsidRPr="00161756">
          <w:rPr>
            <w:rStyle w:val="Hyperlink"/>
            <w:noProof/>
          </w:rPr>
          <w:t>Part XVII · Appendices</w:t>
        </w:r>
        <w:r>
          <w:rPr>
            <w:noProof/>
            <w:webHidden/>
          </w:rPr>
          <w:tab/>
        </w:r>
        <w:r>
          <w:rPr>
            <w:noProof/>
            <w:webHidden/>
          </w:rPr>
          <w:fldChar w:fldCharType="begin"/>
        </w:r>
        <w:r>
          <w:rPr>
            <w:noProof/>
            <w:webHidden/>
          </w:rPr>
          <w:instrText xml:space="preserve"> PAGEREF _Toc240027444 \h </w:instrText>
        </w:r>
        <w:r>
          <w:rPr>
            <w:noProof/>
            <w:webHidden/>
          </w:rPr>
        </w:r>
        <w:r>
          <w:rPr>
            <w:noProof/>
            <w:webHidden/>
          </w:rPr>
          <w:fldChar w:fldCharType="separate"/>
        </w:r>
        <w:r>
          <w:rPr>
            <w:noProof/>
            <w:webHidden/>
          </w:rPr>
          <w:t>38</w:t>
        </w:r>
        <w:r>
          <w:rPr>
            <w:noProof/>
            <w:webHidden/>
          </w:rPr>
          <w:fldChar w:fldCharType="end"/>
        </w:r>
      </w:hyperlink>
    </w:p>
    <w:p w:rsidR="00ED2C2A" w:rsidRDefault="00ED2C2A">
      <w:pPr>
        <w:pStyle w:val="TOC1"/>
        <w:tabs>
          <w:tab w:val="right" w:leader="dot" w:pos="9622"/>
        </w:tabs>
        <w:rPr>
          <w:rFonts w:asciiTheme="minorHAnsi" w:eastAsiaTheme="minorEastAsia" w:hAnsiTheme="minorHAnsi"/>
          <w:noProof/>
          <w:color w:val="auto"/>
          <w:sz w:val="22"/>
        </w:rPr>
      </w:pPr>
      <w:hyperlink w:anchor="_Toc240027445" w:history="1">
        <w:r w:rsidRPr="00161756">
          <w:rPr>
            <w:rStyle w:val="Hyperlink"/>
            <w:noProof/>
          </w:rPr>
          <w:t>Before you send it</w:t>
        </w:r>
        <w:r>
          <w:rPr>
            <w:noProof/>
            <w:webHidden/>
          </w:rPr>
          <w:tab/>
        </w:r>
        <w:r>
          <w:rPr>
            <w:noProof/>
            <w:webHidden/>
          </w:rPr>
          <w:fldChar w:fldCharType="begin"/>
        </w:r>
        <w:r>
          <w:rPr>
            <w:noProof/>
            <w:webHidden/>
          </w:rPr>
          <w:instrText xml:space="preserve"> PAGEREF _Toc240027445 \h </w:instrText>
        </w:r>
        <w:r>
          <w:rPr>
            <w:noProof/>
            <w:webHidden/>
          </w:rPr>
        </w:r>
        <w:r>
          <w:rPr>
            <w:noProof/>
            <w:webHidden/>
          </w:rPr>
          <w:fldChar w:fldCharType="separate"/>
        </w:r>
        <w:r>
          <w:rPr>
            <w:noProof/>
            <w:webHidden/>
          </w:rPr>
          <w:t>39</w:t>
        </w:r>
        <w:r>
          <w:rPr>
            <w:noProof/>
            <w:webHidden/>
          </w:rPr>
          <w:fldChar w:fldCharType="end"/>
        </w:r>
      </w:hyperlink>
    </w:p>
    <w:p w:rsidR="007F2E02" w:rsidRDefault="00ED2C2A">
      <w:r>
        <w:fldChar w:fldCharType="end"/>
      </w:r>
    </w:p>
    <w:p w:rsidR="007F2E02" w:rsidRDefault="00ED2C2A">
      <w:r>
        <w:br w:type="page"/>
      </w:r>
    </w:p>
    <w:p w:rsidR="007F2E02" w:rsidRDefault="00ED2C2A">
      <w:pPr>
        <w:pStyle w:val="Heading1"/>
      </w:pPr>
      <w:bookmarkStart w:id="1" w:name="_Toc240027426"/>
      <w:r>
        <w:lastRenderedPageBreak/>
        <w:t>How to use this template</w:t>
      </w:r>
      <w:bookmarkEnd w:id="1"/>
    </w:p>
    <w:p w:rsidR="007F2E02" w:rsidRDefault="00ED2C2A">
      <w:r>
        <w:t>This is the structur</w:t>
      </w:r>
      <w:r>
        <w:t>e of a business plan a Canadian credit analyst expects to see, in the order they expect to see it. It is the same seventeen-part structure we deliver to lenders. What it is not is the thing that gets a plan approved. Structure is free. The numbers under it</w:t>
      </w:r>
      <w:r>
        <w:t xml:space="preserve"> are the work.</w:t>
      </w:r>
    </w:p>
    <w:p w:rsidR="007F2E02" w:rsidRDefault="00ED2C2A">
      <w:pPr>
        <w:spacing w:after="40"/>
      </w:pPr>
      <w:r>
        <w:t>Three kinds of text in this file:</w:t>
      </w:r>
    </w:p>
    <w:p w:rsidR="007F2E02" w:rsidRDefault="00ED2C2A">
      <w:pPr>
        <w:pStyle w:val="ListBullet"/>
        <w:spacing w:after="60"/>
      </w:pPr>
      <w:r>
        <w:rPr>
          <w:b/>
        </w:rPr>
        <w:t xml:space="preserve">Headings and tables: </w:t>
      </w:r>
      <w:r>
        <w:t>the plan itself. Keep them. A lender reads by the headings, and the tables are the ones an analyst looks for.</w:t>
      </w:r>
    </w:p>
    <w:p w:rsidR="007F2E02" w:rsidRDefault="00ED2C2A">
      <w:pPr>
        <w:pStyle w:val="ListBullet"/>
        <w:spacing w:after="60"/>
      </w:pPr>
      <w:r>
        <w:rPr>
          <w:b/>
        </w:rPr>
        <w:t xml:space="preserve">Grey boxes: </w:t>
      </w:r>
      <w:r>
        <w:t>what the reader must find in that part. Read, then delete.</w:t>
      </w:r>
    </w:p>
    <w:p w:rsidR="007F2E02" w:rsidRDefault="00ED2C2A">
      <w:pPr>
        <w:pStyle w:val="ListBullet"/>
        <w:spacing w:after="60"/>
      </w:pPr>
      <w:r>
        <w:rPr>
          <w:b/>
        </w:rPr>
        <w:t xml:space="preserve">Gold boxes: </w:t>
      </w:r>
      <w:r>
        <w:t>where the numbers come from – the public source for each figure a lender will check. Read, use, then delete.</w:t>
      </w:r>
    </w:p>
    <w:p w:rsidR="007F2E02" w:rsidRDefault="00ED2C2A">
      <w:r>
        <w:t>Text in {braces} is yours to replace. When every brace and every box is gone, what remains is your document, not ours. Replace the foot</w:t>
      </w:r>
      <w:r>
        <w:t>er with your company name at the same time.</w:t>
      </w:r>
    </w:p>
    <w:p w:rsidR="007F2E02" w:rsidRDefault="00ED2C2A">
      <w:pPr>
        <w:pStyle w:val="Heading2"/>
      </w:pPr>
      <w:r>
        <w:t>The one rule</w:t>
      </w:r>
    </w:p>
    <w:p w:rsidR="007F2E02" w:rsidRDefault="00ED2C2A">
      <w:r>
        <w:t>Every figure has a source, and every claim about the market carries a numbered endnote. Not because a lender will check each one – because an analyst can tell within a page whether the figures were l</w:t>
      </w:r>
      <w:r>
        <w:t>ooked up or typed. A plan with round numbers and no sources is a plan written to fit a hope, and credit desks are trained to find those.</w:t>
      </w:r>
    </w:p>
    <w:p w:rsidR="007F2E02" w:rsidRDefault="00ED2C2A">
      <w:pPr>
        <w:pStyle w:val="Heading2"/>
      </w:pPr>
      <w:r>
        <w:t>The five questions the analyst is reading for</w:t>
      </w:r>
    </w:p>
    <w:p w:rsidR="007F2E02" w:rsidRDefault="00ED2C2A">
      <w:pPr>
        <w:spacing w:after="80"/>
      </w:pPr>
      <w:r>
        <w:t>A credit analyst does not read a plan front to back. They look for five a</w:t>
      </w:r>
      <w:r>
        <w:t>nswers, in this order, and check whether they agree with each other. Everything else – market, competitors, operations – is read after these have been found. Write the plan so that each one is where they will look for it.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54"/>
        <w:gridCol w:w="2381"/>
        <w:gridCol w:w="5953"/>
      </w:tblGrid>
      <w:tr w:rsidR="007F2E02">
        <w:trPr>
          <w:cantSplit/>
          <w:tblHeader/>
          <w:jc w:val="center"/>
        </w:trPr>
        <w:tc>
          <w:tcPr>
            <w:tcW w:w="454" w:type="dxa"/>
            <w:shd w:val="clear" w:color="auto" w:fill="1C3A2F"/>
          </w:tcPr>
          <w:p w:rsidR="007F2E02" w:rsidRDefault="00ED2C2A">
            <w:pPr>
              <w:keepNext/>
              <w:jc w:val="center"/>
            </w:pPr>
            <w:r>
              <w:rPr>
                <w:b/>
                <w:color w:val="FAF7F2"/>
                <w:sz w:val="18"/>
              </w:rPr>
              <w:t>#</w:t>
            </w:r>
          </w:p>
        </w:tc>
        <w:tc>
          <w:tcPr>
            <w:tcW w:w="2381" w:type="dxa"/>
            <w:shd w:val="clear" w:color="auto" w:fill="1C3A2F"/>
          </w:tcPr>
          <w:p w:rsidR="007F2E02" w:rsidRDefault="00ED2C2A">
            <w:pPr>
              <w:keepNext/>
            </w:pPr>
            <w:r>
              <w:rPr>
                <w:b/>
                <w:color w:val="FAF7F2"/>
                <w:sz w:val="18"/>
              </w:rPr>
              <w:t>Question</w:t>
            </w:r>
          </w:p>
        </w:tc>
        <w:tc>
          <w:tcPr>
            <w:tcW w:w="5953" w:type="dxa"/>
            <w:shd w:val="clear" w:color="auto" w:fill="1C3A2F"/>
          </w:tcPr>
          <w:p w:rsidR="007F2E02" w:rsidRDefault="00ED2C2A">
            <w:pPr>
              <w:keepNext/>
            </w:pPr>
            <w:r>
              <w:rPr>
                <w:b/>
                <w:color w:val="FAF7F2"/>
                <w:sz w:val="18"/>
              </w:rPr>
              <w:t>Where the answer has to</w:t>
            </w:r>
            <w:r>
              <w:rPr>
                <w:b/>
                <w:color w:val="FAF7F2"/>
                <w:sz w:val="18"/>
              </w:rPr>
              <w:t xml:space="preserve"> be</w:t>
            </w:r>
          </w:p>
        </w:tc>
      </w:tr>
      <w:tr w:rsidR="007F2E02">
        <w:trPr>
          <w:jc w:val="center"/>
        </w:trPr>
        <w:tc>
          <w:tcPr>
            <w:tcW w:w="454" w:type="dxa"/>
          </w:tcPr>
          <w:p w:rsidR="007F2E02" w:rsidRDefault="00ED2C2A">
            <w:pPr>
              <w:spacing w:after="0"/>
              <w:jc w:val="center"/>
            </w:pPr>
            <w:r>
              <w:rPr>
                <w:sz w:val="18"/>
              </w:rPr>
              <w:t>1</w:t>
            </w:r>
          </w:p>
        </w:tc>
        <w:tc>
          <w:tcPr>
            <w:tcW w:w="2381" w:type="dxa"/>
          </w:tcPr>
          <w:p w:rsidR="007F2E02" w:rsidRDefault="00ED2C2A">
            <w:pPr>
              <w:spacing w:after="0"/>
            </w:pPr>
            <w:r>
              <w:rPr>
                <w:sz w:val="18"/>
              </w:rPr>
              <w:t>How much, and for what</w:t>
            </w:r>
          </w:p>
        </w:tc>
        <w:tc>
          <w:tcPr>
            <w:tcW w:w="5953" w:type="dxa"/>
          </w:tcPr>
          <w:p w:rsidR="007F2E02" w:rsidRDefault="00ED2C2A">
            <w:pPr>
              <w:spacing w:after="0"/>
            </w:pPr>
            <w:r>
              <w:rPr>
                <w:sz w:val="18"/>
              </w:rPr>
              <w:t>Page one of the summary. A sources and uses table mapped to the asset classes the program funds, with supplier quotes behind the equipment lines (Parts I, XV).</w:t>
            </w:r>
          </w:p>
        </w:tc>
      </w:tr>
      <w:tr w:rsidR="007F2E02">
        <w:trPr>
          <w:jc w:val="center"/>
        </w:trPr>
        <w:tc>
          <w:tcPr>
            <w:tcW w:w="454" w:type="dxa"/>
          </w:tcPr>
          <w:p w:rsidR="007F2E02" w:rsidRDefault="00ED2C2A">
            <w:pPr>
              <w:spacing w:after="0"/>
              <w:jc w:val="center"/>
            </w:pPr>
            <w:r>
              <w:rPr>
                <w:sz w:val="18"/>
              </w:rPr>
              <w:t>2</w:t>
            </w:r>
          </w:p>
        </w:tc>
        <w:tc>
          <w:tcPr>
            <w:tcW w:w="2381" w:type="dxa"/>
          </w:tcPr>
          <w:p w:rsidR="007F2E02" w:rsidRDefault="00ED2C2A">
            <w:pPr>
              <w:spacing w:after="0"/>
            </w:pPr>
            <w:r>
              <w:rPr>
                <w:sz w:val="18"/>
              </w:rPr>
              <w:t>What repays it</w:t>
            </w:r>
          </w:p>
        </w:tc>
        <w:tc>
          <w:tcPr>
            <w:tcW w:w="5953" w:type="dxa"/>
          </w:tcPr>
          <w:p w:rsidR="007F2E02" w:rsidRDefault="00ED2C2A">
            <w:pPr>
              <w:spacing w:after="0"/>
            </w:pPr>
            <w:r>
              <w:rPr>
                <w:sz w:val="18"/>
              </w:rPr>
              <w:t xml:space="preserve">Debt service coverage in every year, a first </w:t>
            </w:r>
            <w:r>
              <w:rPr>
                <w:sz w:val="18"/>
              </w:rPr>
              <w:t>year built month by month, cash that never goes below zero (Part XIV).</w:t>
            </w:r>
          </w:p>
        </w:tc>
      </w:tr>
      <w:tr w:rsidR="007F2E02">
        <w:trPr>
          <w:jc w:val="center"/>
        </w:trPr>
        <w:tc>
          <w:tcPr>
            <w:tcW w:w="454" w:type="dxa"/>
          </w:tcPr>
          <w:p w:rsidR="007F2E02" w:rsidRDefault="00ED2C2A">
            <w:pPr>
              <w:spacing w:after="0"/>
              <w:jc w:val="center"/>
            </w:pPr>
            <w:r>
              <w:rPr>
                <w:sz w:val="18"/>
              </w:rPr>
              <w:t>3</w:t>
            </w:r>
          </w:p>
        </w:tc>
        <w:tc>
          <w:tcPr>
            <w:tcW w:w="2381" w:type="dxa"/>
          </w:tcPr>
          <w:p w:rsidR="007F2E02" w:rsidRDefault="00ED2C2A">
            <w:pPr>
              <w:spacing w:after="0"/>
            </w:pPr>
            <w:r>
              <w:rPr>
                <w:sz w:val="18"/>
              </w:rPr>
              <w:t>What if it goes wrong</w:t>
            </w:r>
          </w:p>
        </w:tc>
        <w:tc>
          <w:tcPr>
            <w:tcW w:w="5953" w:type="dxa"/>
          </w:tcPr>
          <w:p w:rsidR="007F2E02" w:rsidRDefault="00ED2C2A">
            <w:pPr>
              <w:spacing w:after="0"/>
            </w:pPr>
            <w:r>
              <w:rPr>
                <w:sz w:val="18"/>
              </w:rPr>
              <w:t>A downside with its breaking point named: revenue can fall by a stated percentage before coverage reaches the covenant (14.5.2).</w:t>
            </w:r>
          </w:p>
        </w:tc>
      </w:tr>
      <w:tr w:rsidR="007F2E02">
        <w:trPr>
          <w:jc w:val="center"/>
        </w:trPr>
        <w:tc>
          <w:tcPr>
            <w:tcW w:w="454" w:type="dxa"/>
          </w:tcPr>
          <w:p w:rsidR="007F2E02" w:rsidRDefault="00ED2C2A">
            <w:pPr>
              <w:spacing w:after="0"/>
              <w:jc w:val="center"/>
            </w:pPr>
            <w:r>
              <w:rPr>
                <w:sz w:val="18"/>
              </w:rPr>
              <w:t>4</w:t>
            </w:r>
          </w:p>
        </w:tc>
        <w:tc>
          <w:tcPr>
            <w:tcW w:w="2381" w:type="dxa"/>
          </w:tcPr>
          <w:p w:rsidR="007F2E02" w:rsidRDefault="00ED2C2A">
            <w:pPr>
              <w:spacing w:after="0"/>
            </w:pPr>
            <w:r>
              <w:rPr>
                <w:sz w:val="18"/>
              </w:rPr>
              <w:t>How much of your own money</w:t>
            </w:r>
          </w:p>
        </w:tc>
        <w:tc>
          <w:tcPr>
            <w:tcW w:w="5953" w:type="dxa"/>
          </w:tcPr>
          <w:p w:rsidR="007F2E02" w:rsidRDefault="00ED2C2A">
            <w:pPr>
              <w:spacing w:after="0"/>
            </w:pPr>
            <w:r>
              <w:rPr>
                <w:sz w:val="18"/>
              </w:rPr>
              <w:t>C</w:t>
            </w:r>
            <w:r>
              <w:rPr>
                <w:sz w:val="18"/>
              </w:rPr>
              <w:t>apital structure – your share of the project cost and where it comes from (Parts I, XV).</w:t>
            </w:r>
          </w:p>
        </w:tc>
      </w:tr>
      <w:tr w:rsidR="007F2E02">
        <w:trPr>
          <w:jc w:val="center"/>
        </w:trPr>
        <w:tc>
          <w:tcPr>
            <w:tcW w:w="454" w:type="dxa"/>
          </w:tcPr>
          <w:p w:rsidR="007F2E02" w:rsidRDefault="00ED2C2A">
            <w:pPr>
              <w:spacing w:after="0"/>
              <w:jc w:val="center"/>
            </w:pPr>
            <w:r>
              <w:rPr>
                <w:sz w:val="18"/>
              </w:rPr>
              <w:t>5</w:t>
            </w:r>
          </w:p>
        </w:tc>
        <w:tc>
          <w:tcPr>
            <w:tcW w:w="2381" w:type="dxa"/>
          </w:tcPr>
          <w:p w:rsidR="007F2E02" w:rsidRDefault="00ED2C2A">
            <w:pPr>
              <w:spacing w:after="0"/>
            </w:pPr>
            <w:r>
              <w:rPr>
                <w:sz w:val="18"/>
              </w:rPr>
              <w:t>Who you are</w:t>
            </w:r>
          </w:p>
        </w:tc>
        <w:tc>
          <w:tcPr>
            <w:tcW w:w="5953" w:type="dxa"/>
          </w:tcPr>
          <w:p w:rsidR="007F2E02" w:rsidRDefault="00ED2C2A">
            <w:pPr>
              <w:spacing w:after="0"/>
            </w:pPr>
            <w:r>
              <w:rPr>
                <w:sz w:val="18"/>
              </w:rPr>
              <w:t>Management, written so a first business is answered with transferable experience (2.3).</w:t>
            </w:r>
          </w:p>
        </w:tc>
      </w:tr>
    </w:tbl>
    <w:p w:rsidR="007F2E02" w:rsidRDefault="007F2E02">
      <w:pPr>
        <w:spacing w:after="40"/>
      </w:pP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Why the five matter. </w:t>
            </w:r>
            <w:r>
              <w:rPr>
                <w:sz w:val="20"/>
              </w:rPr>
              <w:t>If debt service coverage is not stated in</w:t>
            </w:r>
            <w:r>
              <w:rPr>
                <w:sz w:val="20"/>
              </w:rPr>
              <w:t xml:space="preserve"> the document, the analyst calculates it from your own P&amp;L and loan schedule. At that point it is their number, arrived at without your explanation attached. State it. State it three times: summary, projections, funding request. Make sure all three agree.</w:t>
            </w:r>
          </w:p>
        </w:tc>
      </w:tr>
    </w:tbl>
    <w:p w:rsidR="007F2E02" w:rsidRDefault="007F2E02">
      <w:pPr>
        <w:spacing w:after="40"/>
      </w:pPr>
    </w:p>
    <w:p w:rsidR="007F2E02" w:rsidRDefault="00ED2C2A">
      <w:pPr>
        <w:pStyle w:val="Heading1"/>
      </w:pPr>
      <w:bookmarkStart w:id="2" w:name="_Toc240027427"/>
      <w:r>
        <w:lastRenderedPageBreak/>
        <w:t>Front matter</w:t>
      </w:r>
      <w:bookmarkEnd w:id="2"/>
    </w:p>
    <w:p w:rsidR="007F2E02" w:rsidRDefault="00ED2C2A">
      <w:pPr>
        <w:pStyle w:val="Heading2"/>
      </w:pPr>
      <w:r>
        <w:t>Cover</w:t>
      </w:r>
    </w:p>
    <w:p w:rsidR="007F2E02" w:rsidRDefault="00ED2C2A">
      <w:r>
        <w:rPr>
          <w:i/>
          <w:color w:val="6B6459"/>
        </w:rPr>
        <w:t>{Company legal name} · Business Plan · {one-line concept} · {address} · {month year} · Prepared by {founders} · Prepared for {lender, or 'lenders under the Canada Small Business Financing Program'} · Strictly confidential}</w:t>
      </w:r>
    </w:p>
    <w:p w:rsidR="007F2E02" w:rsidRDefault="00ED2C2A">
      <w:pPr>
        <w:pStyle w:val="Heading2"/>
      </w:pPr>
      <w:r>
        <w:t>Confidentiality and readership notice</w:t>
      </w:r>
    </w:p>
    <w:p w:rsidR="007F2E02" w:rsidRDefault="00ED2C2A">
      <w:r>
        <w:rPr>
          <w:sz w:val="19"/>
        </w:rPr>
        <w:t xml:space="preserve">This business plan is provided to the reader solely for the purpose of evaluating a financing request by {Company}. The information it contains is confidential. The reader agrees not to disclose it without the written </w:t>
      </w:r>
      <w:r>
        <w:rPr>
          <w:sz w:val="19"/>
        </w:rPr>
        <w:t xml:space="preserve">consent of {Company}, and to return or destroy this document on request. This document is a business plan; it does not constitute an offer of securities. Projections are estimates prepared by management on the assumptions stated in Parts VIII–XIII and are </w:t>
      </w:r>
      <w:r>
        <w:rPr>
          <w:sz w:val="19"/>
        </w:rPr>
        <w:t>not a guarantee of future results.</w:t>
      </w:r>
    </w:p>
    <w:p w:rsidR="007F2E02" w:rsidRDefault="00ED2C2A">
      <w:pPr>
        <w:pStyle w:val="Heading2"/>
      </w:pPr>
      <w:r>
        <w:t>Table of contents</w:t>
      </w:r>
    </w:p>
    <w:p w:rsidR="007F2E02" w:rsidRDefault="00ED2C2A">
      <w:r>
        <w:rPr>
          <w:color w:val="6B6459"/>
          <w:sz w:val="19"/>
        </w:rPr>
        <w:t>Generated. In Word: right-click the table of contents and choose Update Field after your last edit.</w:t>
      </w:r>
    </w:p>
    <w:p w:rsidR="007F2E02" w:rsidRDefault="00ED2C2A">
      <w:pPr>
        <w:pStyle w:val="Heading1"/>
      </w:pPr>
      <w:bookmarkStart w:id="3" w:name="_Toc240027428"/>
      <w:r>
        <w:lastRenderedPageBreak/>
        <w:t>Part I · Executive Summary</w:t>
      </w:r>
      <w:bookmarkEnd w:id="3"/>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What the business is, how much is requested </w:t>
            </w:r>
            <w:r>
              <w:rPr>
                <w:sz w:val="20"/>
              </w:rPr>
              <w:t>and for what, how it will be repaid (the coverage ratio), how much of the owners' own money is in the project, and the one number that says how much can go wrong. Two pages. Written last, from the finished forecast – never first.</w:t>
            </w:r>
          </w:p>
        </w:tc>
      </w:tr>
    </w:tbl>
    <w:p w:rsidR="007F2E02" w:rsidRDefault="007F2E02">
      <w:pPr>
        <w:spacing w:after="40"/>
      </w:pPr>
    </w:p>
    <w:p w:rsidR="007F2E02" w:rsidRDefault="00ED2C2A">
      <w:pPr>
        <w:pStyle w:val="Heading2"/>
      </w:pPr>
      <w:r>
        <w:t>1.1 Business overview</w:t>
      </w:r>
    </w:p>
    <w:p w:rsidR="007F2E02" w:rsidRDefault="00ED2C2A">
      <w:r>
        <w:rPr>
          <w:i/>
          <w:color w:val="6B6459"/>
        </w:rPr>
        <w:t>{C</w:t>
      </w:r>
      <w:r>
        <w:rPr>
          <w:i/>
          <w:color w:val="6B6459"/>
        </w:rPr>
        <w:t>ompany} is a {concept} to be located at {address} in {neighbourhood}, {city}, {province}. The Company will operate as a {legal form} owned {ownership split} by {founders}. Two or three sentences: what is sold, to whom, why this location – with the two or t</w:t>
      </w:r>
      <w:r>
        <w:rPr>
          <w:i/>
          <w:color w:val="6B6459"/>
        </w:rPr>
        <w:t>hree hard facts that carry the case: foot traffic, catchment income, an anchor institution.}</w:t>
      </w:r>
    </w:p>
    <w:p w:rsidR="007F2E02" w:rsidRDefault="00ED2C2A">
      <w:pPr>
        <w:pStyle w:val="Heading2"/>
      </w:pPr>
      <w:r>
        <w:t>1.2 The opportunity</w:t>
      </w:r>
    </w:p>
    <w:p w:rsidR="007F2E02" w:rsidRDefault="00ED2C2A">
      <w:r>
        <w:rPr>
          <w:b/>
        </w:rPr>
        <w:t>Market gap.</w:t>
      </w:r>
    </w:p>
    <w:p w:rsidR="007F2E02" w:rsidRDefault="00ED2C2A">
      <w:r>
        <w:rPr>
          <w:i/>
          <w:color w:val="6B6459"/>
        </w:rPr>
        <w:t>{One paragraph: the demand indicators (population, income, traffic, anchor demand) and the absence or distance of comparable supply</w:t>
      </w:r>
      <w:r>
        <w:rPr>
          <w:i/>
          <w:color w:val="6B6459"/>
        </w:rPr>
        <w:t>. Numbers, distances, names.}</w:t>
      </w:r>
    </w:p>
    <w:p w:rsidR="007F2E02" w:rsidRDefault="00ED2C2A">
      <w:r>
        <w:rPr>
          <w:b/>
        </w:rPr>
        <w:t>Why now.</w:t>
      </w:r>
    </w:p>
    <w:p w:rsidR="007F2E02" w:rsidRDefault="00ED2C2A">
      <w:r>
        <w:rPr>
          <w:i/>
          <w:color w:val="6B6459"/>
        </w:rPr>
        <w:t>{Three or four bullets, each a trend with a source: consumer behaviour, category growth, local development, a regulatory or cost tailwind.}</w:t>
      </w:r>
    </w:p>
    <w:p w:rsidR="007F2E02" w:rsidRDefault="00ED2C2A">
      <w:pPr>
        <w:pStyle w:val="Heading2"/>
      </w:pPr>
      <w:r>
        <w:t>1.3 Mission and vision</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Keep it short. </w:t>
            </w:r>
            <w:r>
              <w:rPr>
                <w:sz w:val="20"/>
              </w:rPr>
              <w:t xml:space="preserve">Two sentences each. Banks do not fund </w:t>
            </w:r>
            <w:r>
              <w:rPr>
                <w:sz w:val="20"/>
              </w:rPr>
              <w:t>missions; the section is here because its absence is noticed.</w:t>
            </w:r>
          </w:p>
        </w:tc>
      </w:tr>
    </w:tbl>
    <w:p w:rsidR="007F2E02" w:rsidRDefault="007F2E02">
      <w:pPr>
        <w:spacing w:after="40"/>
      </w:pPr>
    </w:p>
    <w:p w:rsidR="007F2E02" w:rsidRDefault="00ED2C2A">
      <w:r>
        <w:rPr>
          <w:i/>
          <w:color w:val="6B6459"/>
        </w:rPr>
        <w:t>{Mission.} {Vision.}</w:t>
      </w:r>
    </w:p>
    <w:p w:rsidR="007F2E02" w:rsidRDefault="00ED2C2A">
      <w:pPr>
        <w:pStyle w:val="Heading2"/>
      </w:pPr>
      <w:r>
        <w:t>1.4 Key financial highlights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819"/>
        <w:gridCol w:w="4252"/>
      </w:tblGrid>
      <w:tr w:rsidR="007F2E02">
        <w:trPr>
          <w:jc w:val="center"/>
        </w:trPr>
        <w:tc>
          <w:tcPr>
            <w:tcW w:w="4819" w:type="dxa"/>
            <w:shd w:val="clear" w:color="auto" w:fill="F0EBE1"/>
          </w:tcPr>
          <w:p w:rsidR="007F2E02" w:rsidRDefault="00ED2C2A">
            <w:pPr>
              <w:spacing w:after="0"/>
            </w:pPr>
            <w:r>
              <w:rPr>
                <w:sz w:val="19"/>
              </w:rPr>
              <w:t>Total project cost</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Loan financing requested ({program})</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Owner equity injection</w:t>
            </w:r>
          </w:p>
        </w:tc>
        <w:tc>
          <w:tcPr>
            <w:tcW w:w="4252" w:type="dxa"/>
          </w:tcPr>
          <w:p w:rsidR="007F2E02" w:rsidRDefault="00ED2C2A">
            <w:pPr>
              <w:spacing w:after="0"/>
              <w:jc w:val="right"/>
            </w:pPr>
            <w:r>
              <w:rPr>
                <w:sz w:val="19"/>
              </w:rPr>
              <w:t>{$} ({%} of project)</w:t>
            </w:r>
          </w:p>
        </w:tc>
      </w:tr>
      <w:tr w:rsidR="007F2E02">
        <w:trPr>
          <w:jc w:val="center"/>
        </w:trPr>
        <w:tc>
          <w:tcPr>
            <w:tcW w:w="4819" w:type="dxa"/>
            <w:shd w:val="clear" w:color="auto" w:fill="F0EBE1"/>
          </w:tcPr>
          <w:p w:rsidR="007F2E02" w:rsidRDefault="00ED2C2A">
            <w:pPr>
              <w:spacing w:after="0"/>
            </w:pPr>
            <w:r>
              <w:rPr>
                <w:sz w:val="19"/>
              </w:rPr>
              <w:t>Revenue, Year 1 / Year 5</w:t>
            </w:r>
          </w:p>
        </w:tc>
        <w:tc>
          <w:tcPr>
            <w:tcW w:w="4252" w:type="dxa"/>
          </w:tcPr>
          <w:p w:rsidR="007F2E02" w:rsidRDefault="00ED2C2A">
            <w:pPr>
              <w:spacing w:after="0"/>
              <w:jc w:val="right"/>
            </w:pPr>
            <w:r>
              <w:rPr>
                <w:sz w:val="19"/>
              </w:rPr>
              <w:t xml:space="preserve">{$} / </w:t>
            </w:r>
            <w:r>
              <w:rPr>
                <w:sz w:val="19"/>
              </w:rPr>
              <w:t>{$}</w:t>
            </w:r>
          </w:p>
        </w:tc>
      </w:tr>
      <w:tr w:rsidR="007F2E02">
        <w:trPr>
          <w:jc w:val="center"/>
        </w:trPr>
        <w:tc>
          <w:tcPr>
            <w:tcW w:w="4819" w:type="dxa"/>
            <w:shd w:val="clear" w:color="auto" w:fill="F0EBE1"/>
          </w:tcPr>
          <w:p w:rsidR="007F2E02" w:rsidRDefault="00ED2C2A">
            <w:pPr>
              <w:spacing w:after="0"/>
            </w:pPr>
            <w:r>
              <w:rPr>
                <w:sz w:val="19"/>
              </w:rPr>
              <w:t>EBITDA, Year 1 / Year 5 · margin Year 5</w:t>
            </w:r>
          </w:p>
        </w:tc>
        <w:tc>
          <w:tcPr>
            <w:tcW w:w="4252" w:type="dxa"/>
          </w:tcPr>
          <w:p w:rsidR="007F2E02" w:rsidRDefault="00ED2C2A">
            <w:pPr>
              <w:spacing w:after="0"/>
              <w:jc w:val="right"/>
            </w:pPr>
            <w:r>
              <w:rPr>
                <w:sz w:val="19"/>
              </w:rPr>
              <w:t>{$} / {$} · {%}</w:t>
            </w:r>
          </w:p>
        </w:tc>
      </w:tr>
      <w:tr w:rsidR="007F2E02">
        <w:trPr>
          <w:jc w:val="center"/>
        </w:trPr>
        <w:tc>
          <w:tcPr>
            <w:tcW w:w="4819" w:type="dxa"/>
            <w:shd w:val="clear" w:color="auto" w:fill="F0EBE1"/>
          </w:tcPr>
          <w:p w:rsidR="007F2E02" w:rsidRDefault="00ED2C2A">
            <w:pPr>
              <w:spacing w:after="0"/>
            </w:pPr>
            <w:r>
              <w:rPr>
                <w:sz w:val="19"/>
              </w:rPr>
              <w:t>Net income, Year 1 / Year 5</w:t>
            </w:r>
          </w:p>
        </w:tc>
        <w:tc>
          <w:tcPr>
            <w:tcW w:w="4252" w:type="dxa"/>
          </w:tcPr>
          <w:p w:rsidR="007F2E02" w:rsidRDefault="00ED2C2A">
            <w:pPr>
              <w:spacing w:after="0"/>
              <w:jc w:val="right"/>
            </w:pPr>
            <w:r>
              <w:rPr>
                <w:sz w:val="19"/>
              </w:rPr>
              <w:t>{$} / {$}</w:t>
            </w:r>
          </w:p>
        </w:tc>
      </w:tr>
      <w:tr w:rsidR="007F2E02">
        <w:trPr>
          <w:jc w:val="center"/>
        </w:trPr>
        <w:tc>
          <w:tcPr>
            <w:tcW w:w="4819" w:type="dxa"/>
            <w:shd w:val="clear" w:color="auto" w:fill="F0EBE1"/>
          </w:tcPr>
          <w:p w:rsidR="007F2E02" w:rsidRDefault="00ED2C2A">
            <w:pPr>
              <w:spacing w:after="0"/>
            </w:pPr>
            <w:r>
              <w:rPr>
                <w:sz w:val="19"/>
              </w:rPr>
              <w:t>Debt service coverage, Year 1 (lender minimum {1.25×})</w:t>
            </w:r>
          </w:p>
        </w:tc>
        <w:tc>
          <w:tcPr>
            <w:tcW w:w="4252" w:type="dxa"/>
          </w:tcPr>
          <w:p w:rsidR="007F2E02" w:rsidRDefault="00ED2C2A">
            <w:pPr>
              <w:spacing w:after="0"/>
              <w:jc w:val="right"/>
            </w:pPr>
            <w:r>
              <w:rPr>
                <w:sz w:val="19"/>
              </w:rPr>
              <w:t>{x.xx×}</w:t>
            </w:r>
          </w:p>
        </w:tc>
      </w:tr>
      <w:tr w:rsidR="007F2E02">
        <w:trPr>
          <w:jc w:val="center"/>
        </w:trPr>
        <w:tc>
          <w:tcPr>
            <w:tcW w:w="4819" w:type="dxa"/>
            <w:shd w:val="clear" w:color="auto" w:fill="F0EBE1"/>
          </w:tcPr>
          <w:p w:rsidR="007F2E02" w:rsidRDefault="00ED2C2A">
            <w:pPr>
              <w:spacing w:after="0"/>
            </w:pPr>
            <w:r>
              <w:rPr>
                <w:sz w:val="19"/>
              </w:rPr>
              <w:t>Revenue shortfall the covenant survives, Year 1</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lastRenderedPageBreak/>
              <w:t xml:space="preserve">First EBITDA-positive month · first </w:t>
            </w:r>
            <w:r>
              <w:rPr>
                <w:sz w:val="19"/>
              </w:rPr>
              <w:t>cash-positive month</w:t>
            </w:r>
          </w:p>
        </w:tc>
        <w:tc>
          <w:tcPr>
            <w:tcW w:w="4252" w:type="dxa"/>
          </w:tcPr>
          <w:p w:rsidR="007F2E02" w:rsidRDefault="00ED2C2A">
            <w:pPr>
              <w:spacing w:after="0"/>
              <w:jc w:val="right"/>
            </w:pPr>
            <w:r>
              <w:rPr>
                <w:sz w:val="19"/>
              </w:rPr>
              <w:t>Month {n} · Month {m}</w:t>
            </w:r>
          </w:p>
        </w:tc>
      </w:tr>
    </w:tbl>
    <w:p w:rsidR="007F2E02" w:rsidRDefault="007F2E02">
      <w:pPr>
        <w:spacing w:after="40"/>
      </w:pP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Consistency. </w:t>
            </w:r>
            <w:r>
              <w:rPr>
                <w:sz w:val="20"/>
              </w:rPr>
              <w:t xml:space="preserve">Every figure in this table appears again in Part XIV and Part XV. An analyst checks that they match. If you are producing them by hand rather than from a model, this is the table that will catch you </w:t>
            </w:r>
            <w:r>
              <w:rPr>
                <w:sz w:val="20"/>
              </w:rPr>
              <w:t>– see the note at the head of Part XIV.</w:t>
            </w:r>
          </w:p>
        </w:tc>
      </w:tr>
    </w:tbl>
    <w:p w:rsidR="007F2E02" w:rsidRDefault="007F2E02">
      <w:pPr>
        <w:spacing w:after="40"/>
      </w:pPr>
    </w:p>
    <w:p w:rsidR="007F2E02" w:rsidRDefault="00ED2C2A">
      <w:pPr>
        <w:pStyle w:val="Heading2"/>
      </w:pPr>
      <w:r>
        <w:t>1.5 Funding request and financing summary</w:t>
      </w:r>
    </w:p>
    <w:p w:rsidR="007F2E02" w:rsidRDefault="00ED2C2A">
      <w:r>
        <w:rPr>
          <w:i/>
          <w:color w:val="6B6459"/>
        </w:rPr>
        <w:t xml:space="preserve">{Company} is seeking {$} under the {program}, structured as {a term loan on equipment and leasehold improvements, and a revolving working-capital line}, alongside an owner </w:t>
      </w:r>
      <w:r>
        <w:rPr>
          <w:i/>
          <w:color w:val="6B6459"/>
        </w:rPr>
        <w:t>equity contribution of {$} ({%} of the project).}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118"/>
        <w:gridCol w:w="1304"/>
        <w:gridCol w:w="3118"/>
        <w:gridCol w:w="1304"/>
      </w:tblGrid>
      <w:tr w:rsidR="007F2E02">
        <w:trPr>
          <w:cantSplit/>
          <w:tblHeader/>
          <w:jc w:val="center"/>
        </w:trPr>
        <w:tc>
          <w:tcPr>
            <w:tcW w:w="3118" w:type="dxa"/>
            <w:shd w:val="clear" w:color="auto" w:fill="1C3A2F"/>
          </w:tcPr>
          <w:p w:rsidR="007F2E02" w:rsidRDefault="00ED2C2A">
            <w:pPr>
              <w:keepNext/>
            </w:pPr>
            <w:r>
              <w:rPr>
                <w:b/>
                <w:color w:val="FAF7F2"/>
                <w:sz w:val="18"/>
              </w:rPr>
              <w:t>Uses of funds</w:t>
            </w:r>
          </w:p>
        </w:tc>
        <w:tc>
          <w:tcPr>
            <w:tcW w:w="1304" w:type="dxa"/>
            <w:shd w:val="clear" w:color="auto" w:fill="1C3A2F"/>
          </w:tcPr>
          <w:p w:rsidR="007F2E02" w:rsidRDefault="00ED2C2A">
            <w:pPr>
              <w:keepNext/>
              <w:jc w:val="right"/>
            </w:pPr>
            <w:r>
              <w:rPr>
                <w:b/>
                <w:color w:val="FAF7F2"/>
                <w:sz w:val="18"/>
              </w:rPr>
              <w:t>$</w:t>
            </w:r>
          </w:p>
        </w:tc>
        <w:tc>
          <w:tcPr>
            <w:tcW w:w="3118" w:type="dxa"/>
            <w:shd w:val="clear" w:color="auto" w:fill="1C3A2F"/>
          </w:tcPr>
          <w:p w:rsidR="007F2E02" w:rsidRDefault="00ED2C2A">
            <w:pPr>
              <w:keepNext/>
              <w:jc w:val="right"/>
            </w:pPr>
            <w:r>
              <w:rPr>
                <w:b/>
                <w:color w:val="FAF7F2"/>
                <w:sz w:val="18"/>
              </w:rPr>
              <w:t>Sources of funds</w:t>
            </w:r>
          </w:p>
        </w:tc>
        <w:tc>
          <w:tcPr>
            <w:tcW w:w="1304" w:type="dxa"/>
            <w:shd w:val="clear" w:color="auto" w:fill="1C3A2F"/>
          </w:tcPr>
          <w:p w:rsidR="007F2E02" w:rsidRDefault="00ED2C2A">
            <w:pPr>
              <w:keepNext/>
              <w:jc w:val="right"/>
            </w:pPr>
            <w:r>
              <w:rPr>
                <w:b/>
                <w:color w:val="FAF7F2"/>
                <w:sz w:val="18"/>
              </w:rPr>
              <w:t>$</w:t>
            </w: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Uses by the program's asset classes – equipment · leasehold improvements · real property · intangibles · working capital – plus taxes, delivery </w:t>
      </w:r>
      <w:r>
        <w:rPr>
          <w:color w:val="6B6459"/>
          <w:sz w:val="19"/>
        </w:rPr>
        <w:t>and any financed registration fee. Sources: term loan · revolving line · owner equity · other. The two totals must be equal.</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Eligible asset classes, maximums, registration fee, rate cap – </w:t>
            </w:r>
            <w:r>
              <w:rPr>
                <w:sz w:val="19"/>
              </w:rPr>
              <w:t>Canada Small Business Financing Program,</w:t>
            </w:r>
            <w:r>
              <w:rPr>
                <w:sz w:val="19"/>
              </w:rPr>
              <w:t xml:space="preserve"> ISED – ised-isde.canada.ca (the program page states the current figures; check them the week you file, they change)</w:t>
            </w:r>
          </w:p>
          <w:p w:rsidR="007F2E02" w:rsidRDefault="00ED2C2A">
            <w:pPr>
              <w:spacing w:after="40"/>
            </w:pPr>
            <w:r>
              <w:rPr>
                <w:b/>
                <w:sz w:val="19"/>
              </w:rPr>
              <w:t xml:space="preserve">Other programs – </w:t>
            </w:r>
            <w:r>
              <w:rPr>
                <w:sz w:val="19"/>
              </w:rPr>
              <w:t>Futurpreneur (futurpreneur.ca), BDC (bdc.ca), your credit union's small-business lending page</w:t>
            </w:r>
          </w:p>
          <w:p w:rsidR="007F2E02" w:rsidRDefault="00ED2C2A">
            <w:pPr>
              <w:spacing w:after="40"/>
            </w:pPr>
            <w:r>
              <w:rPr>
                <w:b/>
                <w:sz w:val="19"/>
              </w:rPr>
              <w:t xml:space="preserve">Every figure in 1.4 – </w:t>
            </w:r>
            <w:r>
              <w:rPr>
                <w:sz w:val="19"/>
              </w:rPr>
              <w:t>your f</w:t>
            </w:r>
            <w:r>
              <w:rPr>
                <w:sz w:val="19"/>
              </w:rPr>
              <w:t>inancial model – Part XIV. Nothing in this section is typed independently</w:t>
            </w:r>
          </w:p>
        </w:tc>
      </w:tr>
    </w:tbl>
    <w:p w:rsidR="007F2E02" w:rsidRDefault="007F2E02">
      <w:pPr>
        <w:spacing w:after="40"/>
      </w:pPr>
    </w:p>
    <w:p w:rsidR="007F2E02" w:rsidRDefault="00ED2C2A">
      <w:pPr>
        <w:pStyle w:val="Heading1"/>
      </w:pPr>
      <w:bookmarkStart w:id="4" w:name="_Toc240027429"/>
      <w:r>
        <w:lastRenderedPageBreak/>
        <w:t>Part II · Company Description</w:t>
      </w:r>
      <w:bookmarkEnd w:id="4"/>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Who owns it, where it operates, who runs it, and what has to happen by when. The analyst is checking for a lease or an</w:t>
            </w:r>
            <w:r>
              <w:rPr>
                <w:sz w:val="20"/>
              </w:rPr>
              <w:t xml:space="preserve"> offer that is real, a team that can run this, and milestones that match the draw schedule in Part XV.</w:t>
            </w:r>
          </w:p>
        </w:tc>
      </w:tr>
    </w:tbl>
    <w:p w:rsidR="007F2E02" w:rsidRDefault="007F2E02">
      <w:pPr>
        <w:spacing w:after="40"/>
      </w:pPr>
    </w:p>
    <w:p w:rsidR="007F2E02" w:rsidRDefault="00ED2C2A">
      <w:pPr>
        <w:pStyle w:val="Heading2"/>
      </w:pPr>
      <w:r>
        <w:t>2.1 Legal structure and ownership</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Legal name</w:t>
            </w:r>
          </w:p>
        </w:tc>
        <w:tc>
          <w:tcPr>
            <w:tcW w:w="1926" w:type="dxa"/>
            <w:shd w:val="clear" w:color="auto" w:fill="1C3A2F"/>
          </w:tcPr>
          <w:p w:rsidR="007F2E02" w:rsidRDefault="00ED2C2A">
            <w:pPr>
              <w:keepNext/>
              <w:jc w:val="right"/>
            </w:pPr>
            <w:r>
              <w:rPr>
                <w:b/>
                <w:color w:val="FAF7F2"/>
                <w:sz w:val="18"/>
              </w:rPr>
              <w:t>Structure</w:t>
            </w:r>
          </w:p>
        </w:tc>
        <w:tc>
          <w:tcPr>
            <w:tcW w:w="1926" w:type="dxa"/>
            <w:shd w:val="clear" w:color="auto" w:fill="1C3A2F"/>
          </w:tcPr>
          <w:p w:rsidR="007F2E02" w:rsidRDefault="00ED2C2A">
            <w:pPr>
              <w:keepNext/>
              <w:jc w:val="right"/>
            </w:pPr>
            <w:r>
              <w:rPr>
                <w:b/>
                <w:color w:val="FAF7F2"/>
                <w:sz w:val="18"/>
              </w:rPr>
              <w:t>Registered (date)</w:t>
            </w:r>
          </w:p>
        </w:tc>
        <w:tc>
          <w:tcPr>
            <w:tcW w:w="1926" w:type="dxa"/>
            <w:shd w:val="clear" w:color="auto" w:fill="1C3A2F"/>
          </w:tcPr>
          <w:p w:rsidR="007F2E02" w:rsidRDefault="00ED2C2A">
            <w:pPr>
              <w:keepNext/>
              <w:jc w:val="right"/>
            </w:pPr>
            <w:r>
              <w:rPr>
                <w:b/>
                <w:color w:val="FAF7F2"/>
                <w:sz w:val="18"/>
              </w:rPr>
              <w:t>CRA business number</w:t>
            </w:r>
          </w:p>
        </w:tc>
        <w:tc>
          <w:tcPr>
            <w:tcW w:w="1926" w:type="dxa"/>
            <w:shd w:val="clear" w:color="auto" w:fill="1C3A2F"/>
          </w:tcPr>
          <w:p w:rsidR="007F2E02" w:rsidRDefault="00ED2C2A">
            <w:pPr>
              <w:keepNext/>
              <w:jc w:val="right"/>
            </w:pPr>
            <w:r>
              <w:rPr>
                <w:b/>
                <w:color w:val="FAF7F2"/>
                <w:sz w:val="18"/>
              </w:rPr>
              <w:t>GST / PST</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211"/>
        <w:gridCol w:w="3211"/>
        <w:gridCol w:w="3211"/>
      </w:tblGrid>
      <w:tr w:rsidR="007F2E02">
        <w:trPr>
          <w:cantSplit/>
          <w:tblHeader/>
          <w:jc w:val="center"/>
        </w:trPr>
        <w:tc>
          <w:tcPr>
            <w:tcW w:w="3211" w:type="dxa"/>
            <w:shd w:val="clear" w:color="auto" w:fill="1C3A2F"/>
          </w:tcPr>
          <w:p w:rsidR="007F2E02" w:rsidRDefault="00ED2C2A">
            <w:pPr>
              <w:keepNext/>
            </w:pPr>
            <w:r>
              <w:rPr>
                <w:b/>
                <w:color w:val="FAF7F2"/>
                <w:sz w:val="18"/>
              </w:rPr>
              <w:t>Shareholder</w:t>
            </w:r>
          </w:p>
        </w:tc>
        <w:tc>
          <w:tcPr>
            <w:tcW w:w="3211" w:type="dxa"/>
            <w:shd w:val="clear" w:color="auto" w:fill="1C3A2F"/>
          </w:tcPr>
          <w:p w:rsidR="007F2E02" w:rsidRDefault="00ED2C2A">
            <w:pPr>
              <w:keepNext/>
              <w:jc w:val="right"/>
            </w:pPr>
            <w:r>
              <w:rPr>
                <w:b/>
                <w:color w:val="FAF7F2"/>
                <w:sz w:val="18"/>
              </w:rPr>
              <w:t>Ownership %</w:t>
            </w:r>
          </w:p>
        </w:tc>
        <w:tc>
          <w:tcPr>
            <w:tcW w:w="3211" w:type="dxa"/>
            <w:shd w:val="clear" w:color="auto" w:fill="1C3A2F"/>
          </w:tcPr>
          <w:p w:rsidR="007F2E02" w:rsidRDefault="00ED2C2A">
            <w:pPr>
              <w:keepNext/>
              <w:jc w:val="right"/>
            </w:pPr>
            <w:r>
              <w:rPr>
                <w:b/>
                <w:color w:val="FAF7F2"/>
                <w:sz w:val="18"/>
              </w:rPr>
              <w:t>Role</w:t>
            </w: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bl>
    <w:p w:rsidR="007F2E02" w:rsidRDefault="007F2E02">
      <w:pPr>
        <w:spacing w:after="40"/>
      </w:pPr>
    </w:p>
    <w:p w:rsidR="007F2E02" w:rsidRDefault="00ED2C2A">
      <w:pPr>
        <w:pStyle w:val="Heading2"/>
      </w:pPr>
      <w:r>
        <w:t>2.2 Location and facilities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376"/>
        <w:gridCol w:w="1376"/>
        <w:gridCol w:w="1376"/>
        <w:gridCol w:w="1376"/>
        <w:gridCol w:w="1376"/>
        <w:gridCol w:w="1376"/>
        <w:gridCol w:w="1376"/>
      </w:tblGrid>
      <w:tr w:rsidR="007F2E02">
        <w:trPr>
          <w:cantSplit/>
          <w:tblHeader/>
          <w:jc w:val="center"/>
        </w:trPr>
        <w:tc>
          <w:tcPr>
            <w:tcW w:w="1376" w:type="dxa"/>
            <w:shd w:val="clear" w:color="auto" w:fill="1C3A2F"/>
          </w:tcPr>
          <w:p w:rsidR="007F2E02" w:rsidRDefault="00ED2C2A">
            <w:pPr>
              <w:keepNext/>
            </w:pPr>
            <w:r>
              <w:rPr>
                <w:b/>
                <w:color w:val="FAF7F2"/>
                <w:sz w:val="18"/>
              </w:rPr>
              <w:t>Address</w:t>
            </w:r>
          </w:p>
        </w:tc>
        <w:tc>
          <w:tcPr>
            <w:tcW w:w="1376" w:type="dxa"/>
            <w:shd w:val="clear" w:color="auto" w:fill="1C3A2F"/>
          </w:tcPr>
          <w:p w:rsidR="007F2E02" w:rsidRDefault="00ED2C2A">
            <w:pPr>
              <w:keepNext/>
              <w:jc w:val="right"/>
            </w:pPr>
            <w:r>
              <w:rPr>
                <w:b/>
                <w:color w:val="FAF7F2"/>
                <w:sz w:val="18"/>
              </w:rPr>
              <w:t>Area (sq ft)</w:t>
            </w:r>
          </w:p>
        </w:tc>
        <w:tc>
          <w:tcPr>
            <w:tcW w:w="1376" w:type="dxa"/>
            <w:shd w:val="clear" w:color="auto" w:fill="1C3A2F"/>
          </w:tcPr>
          <w:p w:rsidR="007F2E02" w:rsidRDefault="00ED2C2A">
            <w:pPr>
              <w:keepNext/>
              <w:jc w:val="right"/>
            </w:pPr>
            <w:r>
              <w:rPr>
                <w:b/>
                <w:color w:val="FAF7F2"/>
                <w:sz w:val="18"/>
              </w:rPr>
              <w:t>Zoning</w:t>
            </w:r>
          </w:p>
        </w:tc>
        <w:tc>
          <w:tcPr>
            <w:tcW w:w="1376" w:type="dxa"/>
            <w:shd w:val="clear" w:color="auto" w:fill="1C3A2F"/>
          </w:tcPr>
          <w:p w:rsidR="007F2E02" w:rsidRDefault="00ED2C2A">
            <w:pPr>
              <w:keepNext/>
              <w:jc w:val="right"/>
            </w:pPr>
            <w:r>
              <w:rPr>
                <w:b/>
                <w:color w:val="FAF7F2"/>
                <w:sz w:val="18"/>
              </w:rPr>
              <w:t>Rent $/sq ft</w:t>
            </w:r>
          </w:p>
        </w:tc>
        <w:tc>
          <w:tcPr>
            <w:tcW w:w="1376" w:type="dxa"/>
            <w:shd w:val="clear" w:color="auto" w:fill="1C3A2F"/>
          </w:tcPr>
          <w:p w:rsidR="007F2E02" w:rsidRDefault="00ED2C2A">
            <w:pPr>
              <w:keepNext/>
              <w:jc w:val="right"/>
            </w:pPr>
            <w:r>
              <w:rPr>
                <w:b/>
                <w:color w:val="FAF7F2"/>
                <w:sz w:val="18"/>
              </w:rPr>
              <w:t>Operating costs</w:t>
            </w:r>
          </w:p>
        </w:tc>
        <w:tc>
          <w:tcPr>
            <w:tcW w:w="1376" w:type="dxa"/>
            <w:shd w:val="clear" w:color="auto" w:fill="1C3A2F"/>
          </w:tcPr>
          <w:p w:rsidR="007F2E02" w:rsidRDefault="00ED2C2A">
            <w:pPr>
              <w:keepNext/>
              <w:jc w:val="right"/>
            </w:pPr>
            <w:r>
              <w:rPr>
                <w:b/>
                <w:color w:val="FAF7F2"/>
                <w:sz w:val="18"/>
              </w:rPr>
              <w:t>Term &amp; options</w:t>
            </w:r>
          </w:p>
        </w:tc>
        <w:tc>
          <w:tcPr>
            <w:tcW w:w="1376" w:type="dxa"/>
            <w:shd w:val="clear" w:color="auto" w:fill="1C3A2F"/>
          </w:tcPr>
          <w:p w:rsidR="007F2E02" w:rsidRDefault="00ED2C2A">
            <w:pPr>
              <w:keepNext/>
              <w:jc w:val="right"/>
            </w:pPr>
            <w:r>
              <w:rPr>
                <w:b/>
                <w:color w:val="FAF7F2"/>
                <w:sz w:val="18"/>
              </w:rPr>
              <w:t>Status</w:t>
            </w: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bl>
    <w:p w:rsidR="007F2E02" w:rsidRDefault="007F2E02">
      <w:pPr>
        <w:spacing w:after="40"/>
      </w:pP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Insert a map. </w:t>
            </w:r>
            <w:r>
              <w:rPr>
                <w:sz w:val="20"/>
              </w:rPr>
              <w:t xml:space="preserve">A map of the trade area – the premises pinned, a walking or driving radius drawn, the anchors named. Not a map of the </w:t>
            </w:r>
            <w:r>
              <w:rPr>
                <w:sz w:val="20"/>
              </w:rPr>
              <w:t>city. The analyst wants to see who is within reach, not where the city is.</w:t>
            </w:r>
          </w:p>
        </w:tc>
      </w:tr>
    </w:tbl>
    <w:p w:rsidR="007F2E02" w:rsidRDefault="007F2E02">
      <w:pPr>
        <w:spacing w:after="40"/>
      </w:pPr>
    </w:p>
    <w:p w:rsidR="007F2E02" w:rsidRDefault="00ED2C2A">
      <w:pPr>
        <w:pStyle w:val="Heading2"/>
      </w:pPr>
      <w:r>
        <w:t>2.3 Management team</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Each biography answers 'why will this person make this work' in its first two sentences, then gives the evidence. For a first </w:t>
            </w:r>
            <w:r>
              <w:rPr>
                <w:sz w:val="20"/>
              </w:rPr>
              <w:t>business, name the concern yourself and close it with the transferable skill: finance, marketing, operations, the industry the founder is leaving. End with the division of responsibilities.</w:t>
            </w:r>
          </w:p>
        </w:tc>
      </w:tr>
    </w:tbl>
    <w:p w:rsidR="007F2E02" w:rsidRDefault="007F2E02">
      <w:pPr>
        <w:spacing w:after="40"/>
      </w:pPr>
    </w:p>
    <w:p w:rsidR="007F2E02" w:rsidRDefault="00ED2C2A">
      <w:r>
        <w:rPr>
          <w:i/>
          <w:color w:val="6B6459"/>
        </w:rPr>
        <w:t>{Founder A} – {title}. {Bio.}</w:t>
      </w:r>
    </w:p>
    <w:p w:rsidR="007F2E02" w:rsidRDefault="00ED2C2A">
      <w:r>
        <w:rPr>
          <w:i/>
          <w:color w:val="6B6459"/>
        </w:rPr>
        <w:t>{Founder B} – {title}. {Bio.}</w:t>
      </w:r>
    </w:p>
    <w:p w:rsidR="007F2E02" w:rsidRDefault="00ED2C2A">
      <w:r>
        <w:rPr>
          <w:i/>
          <w:color w:val="6B6459"/>
        </w:rPr>
        <w:t>{Adv</w:t>
      </w:r>
      <w:r>
        <w:rPr>
          <w:i/>
          <w:color w:val="6B6459"/>
        </w:rPr>
        <w:t>isers, accountant, key hire – one line each, if they strengthen the case.}</w:t>
      </w:r>
    </w:p>
    <w:p w:rsidR="007F2E02" w:rsidRDefault="00ED2C2A">
      <w:pPr>
        <w:pStyle w:val="Heading2"/>
      </w:pPr>
      <w:r>
        <w:lastRenderedPageBreak/>
        <w:t>2.4 Three-year objectives</w:t>
      </w:r>
    </w:p>
    <w:p w:rsidR="007F2E02" w:rsidRDefault="00ED2C2A">
      <w:r>
        <w:rPr>
          <w:i/>
          <w:color w:val="6B6459"/>
        </w:rPr>
        <w:t>{Five to seven bullets, each measurable and dated: financing closed by …; opening by …; Year-1 revenue of …; second revenue line launched in …; coverage ma</w:t>
      </w:r>
      <w:r>
        <w:rPr>
          <w:i/>
          <w:color w:val="6B6459"/>
        </w:rPr>
        <w:t>intained above …; team of … by ….}</w:t>
      </w:r>
    </w:p>
    <w:p w:rsidR="007F2E02" w:rsidRDefault="00ED2C2A">
      <w:pPr>
        <w:pStyle w:val="Heading2"/>
      </w:pPr>
      <w:r>
        <w:t>2.5 Keys to success</w:t>
      </w:r>
    </w:p>
    <w:p w:rsidR="007F2E02" w:rsidRDefault="00ED2C2A">
      <w:r>
        <w:rPr>
          <w:i/>
          <w:color w:val="6B6459"/>
        </w:rPr>
        <w:t>{Four or five, specific to this business and checkable, each pointing to the section that proves it: capacity → 4.1.2; location → 2.2; unit economics → Part X. No adjectives without a number.}</w:t>
      </w:r>
    </w:p>
    <w:p w:rsidR="007F2E02" w:rsidRDefault="00ED2C2A">
      <w:pPr>
        <w:pStyle w:val="Heading2"/>
      </w:pPr>
      <w:r>
        <w:t>2.6 Mile</w:t>
      </w:r>
      <w:r>
        <w:t>stones and phasing</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6236"/>
        <w:gridCol w:w="2551"/>
      </w:tblGrid>
      <w:tr w:rsidR="007F2E02">
        <w:trPr>
          <w:cantSplit/>
          <w:tblHeader/>
          <w:jc w:val="center"/>
        </w:trPr>
        <w:tc>
          <w:tcPr>
            <w:tcW w:w="6236" w:type="dxa"/>
            <w:shd w:val="clear" w:color="auto" w:fill="1C3A2F"/>
          </w:tcPr>
          <w:p w:rsidR="007F2E02" w:rsidRDefault="00ED2C2A">
            <w:pPr>
              <w:keepNext/>
            </w:pPr>
            <w:r>
              <w:rPr>
                <w:b/>
                <w:color w:val="FAF7F2"/>
                <w:sz w:val="18"/>
              </w:rPr>
              <w:t>Activity</w:t>
            </w:r>
          </w:p>
        </w:tc>
        <w:tc>
          <w:tcPr>
            <w:tcW w:w="2551" w:type="dxa"/>
            <w:shd w:val="clear" w:color="auto" w:fill="1C3A2F"/>
          </w:tcPr>
          <w:p w:rsidR="007F2E02" w:rsidRDefault="00ED2C2A">
            <w:pPr>
              <w:keepNext/>
              <w:jc w:val="right"/>
            </w:pPr>
            <w:r>
              <w:rPr>
                <w:b/>
                <w:color w:val="FAF7F2"/>
                <w:sz w:val="18"/>
              </w:rPr>
              <w:t>Month</w:t>
            </w: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r w:rsidR="007F2E02">
        <w:trPr>
          <w:jc w:val="center"/>
        </w:trPr>
        <w:tc>
          <w:tcPr>
            <w:tcW w:w="6236" w:type="dxa"/>
          </w:tcPr>
          <w:p w:rsidR="007F2E02" w:rsidRDefault="007F2E02">
            <w:pPr>
              <w:spacing w:after="0"/>
            </w:pPr>
          </w:p>
        </w:tc>
        <w:tc>
          <w:tcPr>
            <w:tcW w:w="2551"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From financing close to steady state: lease executed · permits · build-out and equipment delivery · hiring and training · soft launch · opening · second line launched · first review with the </w:t>
      </w:r>
      <w:r>
        <w:rPr>
          <w:color w:val="6B6459"/>
          <w:sz w:val="19"/>
        </w:rPr>
        <w:t>lender.</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Registration, business number – </w:t>
            </w:r>
            <w:r>
              <w:rPr>
                <w:sz w:val="19"/>
              </w:rPr>
              <w:t>your provincial registry (e.g. BC Registries) and CRA – canada.ca/business-number</w:t>
            </w:r>
          </w:p>
          <w:p w:rsidR="007F2E02" w:rsidRDefault="00ED2C2A">
            <w:pPr>
              <w:spacing w:after="40"/>
            </w:pPr>
            <w:r>
              <w:rPr>
                <w:b/>
                <w:sz w:val="19"/>
              </w:rPr>
              <w:t xml:space="preserve">Zoning – </w:t>
            </w:r>
            <w:r>
              <w:rPr>
                <w:sz w:val="19"/>
              </w:rPr>
              <w:t>your municipality's zoning bylaw and map; the planning department will confirm a use by email</w:t>
            </w:r>
          </w:p>
          <w:p w:rsidR="007F2E02" w:rsidRDefault="00ED2C2A">
            <w:pPr>
              <w:spacing w:after="40"/>
            </w:pPr>
            <w:r>
              <w:rPr>
                <w:b/>
                <w:sz w:val="19"/>
              </w:rPr>
              <w:t>Lea</w:t>
            </w:r>
            <w:r>
              <w:rPr>
                <w:b/>
                <w:sz w:val="19"/>
              </w:rPr>
              <w:t xml:space="preserve">se terms – </w:t>
            </w:r>
            <w:r>
              <w:rPr>
                <w:sz w:val="19"/>
              </w:rPr>
              <w:t>your signed lease or letter of intent – attach it (Appendix F)</w:t>
            </w:r>
          </w:p>
          <w:p w:rsidR="007F2E02" w:rsidRDefault="00ED2C2A">
            <w:pPr>
              <w:spacing w:after="40"/>
            </w:pPr>
            <w:r>
              <w:rPr>
                <w:b/>
                <w:sz w:val="19"/>
              </w:rPr>
              <w:t xml:space="preserve">Trade-area population and income – </w:t>
            </w:r>
            <w:r>
              <w:rPr>
                <w:sz w:val="19"/>
              </w:rPr>
              <w:t>Statistics Canada Census Profile 2021, by census tract or dissemination area – statcan.gc.ca</w:t>
            </w:r>
          </w:p>
          <w:p w:rsidR="007F2E02" w:rsidRDefault="00ED2C2A">
            <w:pPr>
              <w:spacing w:after="40"/>
            </w:pPr>
            <w:r>
              <w:rPr>
                <w:b/>
                <w:sz w:val="19"/>
              </w:rPr>
              <w:t xml:space="preserve">Anchors and radius – </w:t>
            </w:r>
            <w:r>
              <w:rPr>
                <w:sz w:val="19"/>
              </w:rPr>
              <w:t xml:space="preserve">Google Maps; your municipality's </w:t>
            </w:r>
            <w:r>
              <w:rPr>
                <w:sz w:val="19"/>
              </w:rPr>
              <w:t>community profile for institutions and employers</w:t>
            </w:r>
          </w:p>
        </w:tc>
      </w:tr>
    </w:tbl>
    <w:p w:rsidR="007F2E02" w:rsidRDefault="007F2E02">
      <w:pPr>
        <w:spacing w:after="40"/>
      </w:pPr>
    </w:p>
    <w:p w:rsidR="007F2E02" w:rsidRDefault="00ED2C2A">
      <w:pPr>
        <w:pStyle w:val="Heading1"/>
      </w:pPr>
      <w:bookmarkStart w:id="5" w:name="_Toc240027430"/>
      <w:r>
        <w:lastRenderedPageBreak/>
        <w:t>Part III · Products and Services</w:t>
      </w:r>
      <w:bookmarkEnd w:id="5"/>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What is sold, at what price, and what share of revenue each line carries. The analyst reads this against Part IX: the prices here have to be</w:t>
            </w:r>
            <w:r>
              <w:rPr>
                <w:sz w:val="20"/>
              </w:rPr>
              <w:t xml:space="preserve"> the prices the forecast uses.</w:t>
            </w:r>
          </w:p>
        </w:tc>
      </w:tr>
    </w:tbl>
    <w:p w:rsidR="007F2E02" w:rsidRDefault="007F2E02">
      <w:pPr>
        <w:spacing w:after="40"/>
      </w:pPr>
    </w:p>
    <w:p w:rsidR="007F2E02" w:rsidRDefault="00ED2C2A">
      <w:pPr>
        <w:pStyle w:val="Heading2"/>
      </w:pPr>
      <w:r>
        <w:t>3.1 Offering</w:t>
      </w:r>
    </w:p>
    <w:p w:rsidR="007F2E02" w:rsidRDefault="00ED2C2A">
      <w:r>
        <w:rPr>
          <w:i/>
          <w:color w:val="6B6459"/>
        </w:rPr>
        <w:t>{What is sold and what makes it the premium, value or niche choice it claims to be. Concrete: ingredients, process, format, service.}</w:t>
      </w:r>
    </w:p>
    <w:p w:rsidR="007F2E02" w:rsidRDefault="00ED2C2A">
      <w:pPr>
        <w:pStyle w:val="Heading2"/>
      </w:pPr>
      <w:r>
        <w:t>3.2 Product lines and pricing</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Product line</w:t>
            </w:r>
          </w:p>
        </w:tc>
        <w:tc>
          <w:tcPr>
            <w:tcW w:w="1926" w:type="dxa"/>
            <w:shd w:val="clear" w:color="auto" w:fill="1C3A2F"/>
          </w:tcPr>
          <w:p w:rsidR="007F2E02" w:rsidRDefault="00ED2C2A">
            <w:pPr>
              <w:keepNext/>
              <w:jc w:val="right"/>
            </w:pPr>
            <w:r>
              <w:rPr>
                <w:b/>
                <w:color w:val="FAF7F2"/>
                <w:sz w:val="18"/>
              </w:rPr>
              <w:t>Description</w:t>
            </w:r>
          </w:p>
        </w:tc>
        <w:tc>
          <w:tcPr>
            <w:tcW w:w="1926" w:type="dxa"/>
            <w:shd w:val="clear" w:color="auto" w:fill="1C3A2F"/>
          </w:tcPr>
          <w:p w:rsidR="007F2E02" w:rsidRDefault="00ED2C2A">
            <w:pPr>
              <w:keepNext/>
              <w:jc w:val="right"/>
            </w:pPr>
            <w:r>
              <w:rPr>
                <w:b/>
                <w:color w:val="FAF7F2"/>
                <w:sz w:val="18"/>
              </w:rPr>
              <w:t>Price range</w:t>
            </w:r>
          </w:p>
        </w:tc>
        <w:tc>
          <w:tcPr>
            <w:tcW w:w="1926" w:type="dxa"/>
            <w:shd w:val="clear" w:color="auto" w:fill="1C3A2F"/>
          </w:tcPr>
          <w:p w:rsidR="007F2E02" w:rsidRDefault="00ED2C2A">
            <w:pPr>
              <w:keepNext/>
              <w:jc w:val="right"/>
            </w:pPr>
            <w:r>
              <w:rPr>
                <w:b/>
                <w:color w:val="FAF7F2"/>
                <w:sz w:val="18"/>
              </w:rPr>
              <w:t xml:space="preserve">Share of </w:t>
            </w:r>
            <w:r>
              <w:rPr>
                <w:b/>
                <w:color w:val="FAF7F2"/>
                <w:sz w:val="18"/>
              </w:rPr>
              <w:t>revenue, Year 1</w:t>
            </w:r>
          </w:p>
        </w:tc>
        <w:tc>
          <w:tcPr>
            <w:tcW w:w="1926" w:type="dxa"/>
            <w:shd w:val="clear" w:color="auto" w:fill="1C3A2F"/>
          </w:tcPr>
          <w:p w:rsidR="007F2E02" w:rsidRDefault="00ED2C2A">
            <w:pPr>
              <w:keepNext/>
              <w:jc w:val="right"/>
            </w:pPr>
            <w:r>
              <w:rPr>
                <w:b/>
                <w:color w:val="FAF7F2"/>
                <w:sz w:val="18"/>
              </w:rPr>
              <w:t>Share at steady state</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r>
        <w:rPr>
          <w:i/>
          <w:color w:val="6B6459"/>
        </w:rPr>
        <w:t>{Expansion lines for Year 2 onward, listed separately with the year each starts.}</w:t>
      </w:r>
    </w:p>
    <w:p w:rsidR="007F2E02" w:rsidRDefault="00ED2C2A">
      <w:pPr>
        <w:pStyle w:val="Heading2"/>
      </w:pPr>
      <w:r>
        <w:t>3.3 {Product-specific section}</w:t>
      </w:r>
    </w:p>
    <w:p w:rsidR="007F2E02" w:rsidRDefault="00ED2C2A">
      <w:r>
        <w:rPr>
          <w:i/>
          <w:color w:val="6B6459"/>
        </w:rPr>
        <w:t xml:space="preserve">{Menu or flavour strategy, service tiers, package structure – whatever the </w:t>
      </w:r>
      <w:r>
        <w:rPr>
          <w:i/>
          <w:color w:val="6B6459"/>
        </w:rPr>
        <w:t>concept needs the reader to understand before the operations section.}</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Price points – </w:t>
            </w:r>
            <w:r>
              <w:rPr>
                <w:sz w:val="19"/>
              </w:rPr>
              <w:t>the published menus and price lists of the three nearest comparable businesses, with the date you checked</w:t>
            </w:r>
          </w:p>
          <w:p w:rsidR="007F2E02" w:rsidRDefault="00ED2C2A">
            <w:pPr>
              <w:spacing w:after="40"/>
            </w:pPr>
            <w:r>
              <w:rPr>
                <w:b/>
                <w:sz w:val="19"/>
              </w:rPr>
              <w:t xml:space="preserve">Your input costs – </w:t>
            </w:r>
            <w:r>
              <w:rPr>
                <w:sz w:val="19"/>
              </w:rPr>
              <w:t>supplier quotes –</w:t>
            </w:r>
            <w:r>
              <w:rPr>
                <w:sz w:val="19"/>
              </w:rPr>
              <w:t xml:space="preserve"> the same ones that feed Part X</w:t>
            </w:r>
          </w:p>
        </w:tc>
      </w:tr>
    </w:tbl>
    <w:p w:rsidR="007F2E02" w:rsidRDefault="007F2E02">
      <w:pPr>
        <w:spacing w:after="40"/>
      </w:pPr>
    </w:p>
    <w:p w:rsidR="007F2E02" w:rsidRDefault="00ED2C2A">
      <w:pPr>
        <w:pStyle w:val="Heading1"/>
      </w:pPr>
      <w:bookmarkStart w:id="6" w:name="_Toc240027431"/>
      <w:r>
        <w:lastRenderedPageBreak/>
        <w:t>Part IV · Operations Plan</w:t>
      </w:r>
      <w:bookmarkEnd w:id="6"/>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Can the premises, the equipment and the staff produce the volume the forecast assumes? The analyst is looking for the capacity table: peak demand against what the f</w:t>
            </w:r>
            <w:r>
              <w:rPr>
                <w:sz w:val="20"/>
              </w:rPr>
              <w:t>loor and the equipment can handle. If it is not here, the revenue in Part IX is unsupported.</w:t>
            </w:r>
          </w:p>
        </w:tc>
      </w:tr>
    </w:tbl>
    <w:p w:rsidR="007F2E02" w:rsidRDefault="007F2E02">
      <w:pPr>
        <w:spacing w:after="40"/>
      </w:pPr>
    </w:p>
    <w:p w:rsidR="007F2E02" w:rsidRDefault="00ED2C2A">
      <w:pPr>
        <w:pStyle w:val="Heading2"/>
      </w:pPr>
      <w:r>
        <w:t>4.1 Process overview</w:t>
      </w:r>
    </w:p>
    <w:p w:rsidR="007F2E02" w:rsidRDefault="00ED2C2A">
      <w:r>
        <w:rPr>
          <w:i/>
          <w:color w:val="6B6459"/>
        </w:rPr>
        <w:t>{Method of production or service delivery and why it was chosen – equipment avoided, consistency, labour.}</w:t>
      </w:r>
    </w:p>
    <w:p w:rsidR="007F2E02" w:rsidRDefault="00ED2C2A">
      <w:pPr>
        <w:pStyle w:val="Heading3"/>
      </w:pPr>
      <w:r>
        <w:t>4.1.1 Daily schedule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417"/>
        <w:gridCol w:w="2835"/>
        <w:gridCol w:w="4535"/>
      </w:tblGrid>
      <w:tr w:rsidR="007F2E02">
        <w:trPr>
          <w:cantSplit/>
          <w:tblHeader/>
          <w:jc w:val="center"/>
        </w:trPr>
        <w:tc>
          <w:tcPr>
            <w:tcW w:w="1417" w:type="dxa"/>
            <w:shd w:val="clear" w:color="auto" w:fill="1C3A2F"/>
          </w:tcPr>
          <w:p w:rsidR="007F2E02" w:rsidRDefault="00ED2C2A">
            <w:pPr>
              <w:keepNext/>
            </w:pPr>
            <w:r>
              <w:rPr>
                <w:b/>
                <w:color w:val="FAF7F2"/>
                <w:sz w:val="18"/>
              </w:rPr>
              <w:t>Time</w:t>
            </w:r>
          </w:p>
        </w:tc>
        <w:tc>
          <w:tcPr>
            <w:tcW w:w="2835" w:type="dxa"/>
            <w:shd w:val="clear" w:color="auto" w:fill="1C3A2F"/>
          </w:tcPr>
          <w:p w:rsidR="007F2E02" w:rsidRDefault="00ED2C2A">
            <w:pPr>
              <w:keepNext/>
              <w:jc w:val="right"/>
            </w:pPr>
            <w:r>
              <w:rPr>
                <w:b/>
                <w:color w:val="FAF7F2"/>
                <w:sz w:val="18"/>
              </w:rPr>
              <w:t>Activity</w:t>
            </w:r>
          </w:p>
        </w:tc>
        <w:tc>
          <w:tcPr>
            <w:tcW w:w="4535" w:type="dxa"/>
            <w:shd w:val="clear" w:color="auto" w:fill="1C3A2F"/>
          </w:tcPr>
          <w:p w:rsidR="007F2E02" w:rsidRDefault="00ED2C2A">
            <w:pPr>
              <w:keepNext/>
              <w:jc w:val="right"/>
            </w:pPr>
            <w:r>
              <w:rPr>
                <w:b/>
                <w:color w:val="FAF7F2"/>
                <w:sz w:val="18"/>
              </w:rPr>
              <w:t>Detail</w:t>
            </w: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1417" w:type="dxa"/>
          </w:tcPr>
          <w:p w:rsidR="007F2E02" w:rsidRDefault="007F2E02">
            <w:pPr>
              <w:spacing w:after="0"/>
            </w:pPr>
          </w:p>
        </w:tc>
        <w:tc>
          <w:tcPr>
            <w:tcW w:w="2835" w:type="dxa"/>
          </w:tcPr>
          <w:p w:rsidR="007F2E02" w:rsidRDefault="007F2E02">
            <w:pPr>
              <w:spacing w:after="0"/>
              <w:jc w:val="right"/>
            </w:pPr>
          </w:p>
        </w:tc>
        <w:tc>
          <w:tcPr>
            <w:tcW w:w="4535" w:type="dxa"/>
          </w:tcPr>
          <w:p w:rsidR="007F2E02" w:rsidRDefault="007F2E02">
            <w:pPr>
              <w:spacing w:after="0"/>
              <w:jc w:val="right"/>
            </w:pPr>
          </w:p>
        </w:tc>
      </w:tr>
    </w:tbl>
    <w:p w:rsidR="007F2E02" w:rsidRDefault="007F2E02">
      <w:pPr>
        <w:spacing w:after="40"/>
      </w:pPr>
    </w:p>
    <w:p w:rsidR="007F2E02" w:rsidRDefault="00ED2C2A">
      <w:pPr>
        <w:pStyle w:val="Heading3"/>
      </w:pPr>
      <w:r>
        <w:t>4.1.2 Capacity analysis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Metric</w:t>
            </w:r>
          </w:p>
        </w:tc>
        <w:tc>
          <w:tcPr>
            <w:tcW w:w="2408" w:type="dxa"/>
            <w:shd w:val="clear" w:color="auto" w:fill="1C3A2F"/>
          </w:tcPr>
          <w:p w:rsidR="007F2E02" w:rsidRDefault="00ED2C2A">
            <w:pPr>
              <w:keepNext/>
              <w:jc w:val="right"/>
            </w:pPr>
            <w:r>
              <w:rPr>
                <w:b/>
                <w:color w:val="FAF7F2"/>
                <w:sz w:val="18"/>
              </w:rPr>
              <w:t>Capacity</w:t>
            </w:r>
          </w:p>
        </w:tc>
        <w:tc>
          <w:tcPr>
            <w:tcW w:w="2408" w:type="dxa"/>
            <w:shd w:val="clear" w:color="auto" w:fill="1C3A2F"/>
          </w:tcPr>
          <w:p w:rsidR="007F2E02" w:rsidRDefault="00ED2C2A">
            <w:pPr>
              <w:keepNext/>
              <w:jc w:val="right"/>
            </w:pPr>
            <w:r>
              <w:rPr>
                <w:b/>
                <w:color w:val="FAF7F2"/>
                <w:sz w:val="18"/>
              </w:rPr>
              <w:t>Peak utilisation</w:t>
            </w:r>
          </w:p>
        </w:tc>
        <w:tc>
          <w:tcPr>
            <w:tcW w:w="2408" w:type="dxa"/>
            <w:shd w:val="clear" w:color="auto" w:fill="1C3A2F"/>
          </w:tcPr>
          <w:p w:rsidR="007F2E02" w:rsidRDefault="00ED2C2A">
            <w:pPr>
              <w:keepNext/>
              <w:jc w:val="right"/>
            </w:pPr>
            <w:r>
              <w:rPr>
                <w:b/>
                <w:color w:val="FAF7F2"/>
                <w:sz w:val="18"/>
              </w:rPr>
              <w:t>Headroom</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r>
        <w:rPr>
          <w:i/>
          <w:color w:val="6B6459"/>
        </w:rPr>
        <w:t xml:space="preserve">{Key finding: at peak demand of {n} per day, capacity utilisation is {%} – {headroom} – so volume in the revenue forecast is </w:t>
      </w:r>
      <w:r>
        <w:rPr>
          <w:i/>
          <w:color w:val="6B6459"/>
        </w:rPr>
        <w:t>not constrained by equipment or floor.}</w:t>
      </w:r>
    </w:p>
    <w:p w:rsidR="007F2E02" w:rsidRDefault="00ED2C2A">
      <w:pPr>
        <w:pStyle w:val="Heading2"/>
      </w:pPr>
      <w:r>
        <w:t>4.2 Equipment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Item</w:t>
            </w:r>
          </w:p>
        </w:tc>
        <w:tc>
          <w:tcPr>
            <w:tcW w:w="1926" w:type="dxa"/>
            <w:shd w:val="clear" w:color="auto" w:fill="1C3A2F"/>
          </w:tcPr>
          <w:p w:rsidR="007F2E02" w:rsidRDefault="00ED2C2A">
            <w:pPr>
              <w:keepNext/>
              <w:jc w:val="right"/>
            </w:pPr>
            <w:r>
              <w:rPr>
                <w:b/>
                <w:color w:val="FAF7F2"/>
                <w:sz w:val="18"/>
              </w:rPr>
              <w:t>Model</w:t>
            </w:r>
          </w:p>
        </w:tc>
        <w:tc>
          <w:tcPr>
            <w:tcW w:w="1926" w:type="dxa"/>
            <w:shd w:val="clear" w:color="auto" w:fill="1C3A2F"/>
          </w:tcPr>
          <w:p w:rsidR="007F2E02" w:rsidRDefault="00ED2C2A">
            <w:pPr>
              <w:keepNext/>
              <w:jc w:val="right"/>
            </w:pPr>
            <w:r>
              <w:rPr>
                <w:b/>
                <w:color w:val="FAF7F2"/>
                <w:sz w:val="18"/>
              </w:rPr>
              <w:t>Cost (pre-tax)</w:t>
            </w:r>
          </w:p>
        </w:tc>
        <w:tc>
          <w:tcPr>
            <w:tcW w:w="1926" w:type="dxa"/>
            <w:shd w:val="clear" w:color="auto" w:fill="1C3A2F"/>
          </w:tcPr>
          <w:p w:rsidR="007F2E02" w:rsidRDefault="00ED2C2A">
            <w:pPr>
              <w:keepNext/>
              <w:jc w:val="right"/>
            </w:pPr>
            <w:r>
              <w:rPr>
                <w:b/>
                <w:color w:val="FAF7F2"/>
                <w:sz w:val="18"/>
              </w:rPr>
              <w:t>Purpose</w:t>
            </w:r>
          </w:p>
        </w:tc>
        <w:tc>
          <w:tcPr>
            <w:tcW w:w="1926" w:type="dxa"/>
            <w:shd w:val="clear" w:color="auto" w:fill="1C3A2F"/>
          </w:tcPr>
          <w:p w:rsidR="007F2E02" w:rsidRDefault="00ED2C2A">
            <w:pPr>
              <w:keepNext/>
              <w:jc w:val="right"/>
            </w:pPr>
            <w:r>
              <w:rPr>
                <w:b/>
                <w:color w:val="FAF7F2"/>
                <w:sz w:val="18"/>
              </w:rPr>
              <w:t>Quote attached</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pPr>
        <w:pStyle w:val="Heading2"/>
      </w:pPr>
      <w:r>
        <w:t>4.3 Quality control and compliance</w:t>
      </w:r>
    </w:p>
    <w:p w:rsidR="007F2E02" w:rsidRDefault="00ED2C2A">
      <w:r>
        <w:rPr>
          <w:i/>
          <w:color w:val="6B6459"/>
        </w:rPr>
        <w:t xml:space="preserve">{Input quality · production standards · food-safety or sector certification · </w:t>
      </w:r>
      <w:r>
        <w:rPr>
          <w:i/>
          <w:color w:val="6B6459"/>
        </w:rPr>
        <w:t>permits and inspections · allergen or safety management. Name the regulator and the permit.}</w:t>
      </w:r>
    </w:p>
    <w:p w:rsidR="007F2E02" w:rsidRDefault="00ED2C2A">
      <w:pPr>
        <w:pStyle w:val="Heading2"/>
      </w:pPr>
      <w:r>
        <w:t>4.4 Suppliers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Category</w:t>
            </w:r>
          </w:p>
        </w:tc>
        <w:tc>
          <w:tcPr>
            <w:tcW w:w="2408" w:type="dxa"/>
            <w:shd w:val="clear" w:color="auto" w:fill="1C3A2F"/>
          </w:tcPr>
          <w:p w:rsidR="007F2E02" w:rsidRDefault="00ED2C2A">
            <w:pPr>
              <w:keepNext/>
              <w:jc w:val="right"/>
            </w:pPr>
            <w:r>
              <w:rPr>
                <w:b/>
                <w:color w:val="FAF7F2"/>
                <w:sz w:val="18"/>
              </w:rPr>
              <w:t>Primary supplier</w:t>
            </w:r>
          </w:p>
        </w:tc>
        <w:tc>
          <w:tcPr>
            <w:tcW w:w="2408" w:type="dxa"/>
            <w:shd w:val="clear" w:color="auto" w:fill="1C3A2F"/>
          </w:tcPr>
          <w:p w:rsidR="007F2E02" w:rsidRDefault="00ED2C2A">
            <w:pPr>
              <w:keepNext/>
              <w:jc w:val="right"/>
            </w:pPr>
            <w:r>
              <w:rPr>
                <w:b/>
                <w:color w:val="FAF7F2"/>
                <w:sz w:val="18"/>
              </w:rPr>
              <w:t>Backup</w:t>
            </w:r>
          </w:p>
        </w:tc>
        <w:tc>
          <w:tcPr>
            <w:tcW w:w="2408" w:type="dxa"/>
            <w:shd w:val="clear" w:color="auto" w:fill="1C3A2F"/>
          </w:tcPr>
          <w:p w:rsidR="007F2E02" w:rsidRDefault="00ED2C2A">
            <w:pPr>
              <w:keepNext/>
              <w:jc w:val="right"/>
            </w:pPr>
            <w:r>
              <w:rPr>
                <w:b/>
                <w:color w:val="FAF7F2"/>
                <w:sz w:val="18"/>
              </w:rPr>
              <w:t>Delivery frequency</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pPr>
        <w:pStyle w:val="Heading2"/>
      </w:pPr>
      <w:r>
        <w:t>4.5 Staffing</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376"/>
        <w:gridCol w:w="1376"/>
        <w:gridCol w:w="1376"/>
        <w:gridCol w:w="1376"/>
        <w:gridCol w:w="1376"/>
        <w:gridCol w:w="1376"/>
        <w:gridCol w:w="1376"/>
      </w:tblGrid>
      <w:tr w:rsidR="007F2E02">
        <w:trPr>
          <w:cantSplit/>
          <w:tblHeader/>
          <w:jc w:val="center"/>
        </w:trPr>
        <w:tc>
          <w:tcPr>
            <w:tcW w:w="1376" w:type="dxa"/>
            <w:shd w:val="clear" w:color="auto" w:fill="1C3A2F"/>
          </w:tcPr>
          <w:p w:rsidR="007F2E02" w:rsidRDefault="00ED2C2A">
            <w:pPr>
              <w:keepNext/>
            </w:pPr>
            <w:r>
              <w:rPr>
                <w:b/>
                <w:color w:val="FAF7F2"/>
                <w:sz w:val="18"/>
              </w:rPr>
              <w:t>Season</w:t>
            </w:r>
          </w:p>
        </w:tc>
        <w:tc>
          <w:tcPr>
            <w:tcW w:w="1376" w:type="dxa"/>
            <w:shd w:val="clear" w:color="auto" w:fill="1C3A2F"/>
          </w:tcPr>
          <w:p w:rsidR="007F2E02" w:rsidRDefault="00ED2C2A">
            <w:pPr>
              <w:keepNext/>
              <w:jc w:val="right"/>
            </w:pPr>
            <w:r>
              <w:rPr>
                <w:b/>
                <w:color w:val="FAF7F2"/>
                <w:sz w:val="18"/>
              </w:rPr>
              <w:t>Months</w:t>
            </w:r>
          </w:p>
        </w:tc>
        <w:tc>
          <w:tcPr>
            <w:tcW w:w="1376" w:type="dxa"/>
            <w:shd w:val="clear" w:color="auto" w:fill="1C3A2F"/>
          </w:tcPr>
          <w:p w:rsidR="007F2E02" w:rsidRDefault="00ED2C2A">
            <w:pPr>
              <w:keepNext/>
              <w:jc w:val="right"/>
            </w:pPr>
            <w:r>
              <w:rPr>
                <w:b/>
                <w:color w:val="FAF7F2"/>
                <w:sz w:val="18"/>
              </w:rPr>
              <w:t>Hours / day</w:t>
            </w:r>
          </w:p>
        </w:tc>
        <w:tc>
          <w:tcPr>
            <w:tcW w:w="1376" w:type="dxa"/>
            <w:shd w:val="clear" w:color="auto" w:fill="1C3A2F"/>
          </w:tcPr>
          <w:p w:rsidR="007F2E02" w:rsidRDefault="00ED2C2A">
            <w:pPr>
              <w:keepNext/>
              <w:jc w:val="right"/>
            </w:pPr>
            <w:r>
              <w:rPr>
                <w:b/>
                <w:color w:val="FAF7F2"/>
                <w:sz w:val="18"/>
              </w:rPr>
              <w:t>Staff per shift</w:t>
            </w:r>
          </w:p>
        </w:tc>
        <w:tc>
          <w:tcPr>
            <w:tcW w:w="1376" w:type="dxa"/>
            <w:shd w:val="clear" w:color="auto" w:fill="1C3A2F"/>
          </w:tcPr>
          <w:p w:rsidR="007F2E02" w:rsidRDefault="00ED2C2A">
            <w:pPr>
              <w:keepNext/>
              <w:jc w:val="right"/>
            </w:pPr>
            <w:r>
              <w:rPr>
                <w:b/>
                <w:color w:val="FAF7F2"/>
                <w:sz w:val="18"/>
              </w:rPr>
              <w:t>FTE hired</w:t>
            </w:r>
          </w:p>
        </w:tc>
        <w:tc>
          <w:tcPr>
            <w:tcW w:w="1376" w:type="dxa"/>
            <w:shd w:val="clear" w:color="auto" w:fill="1C3A2F"/>
          </w:tcPr>
          <w:p w:rsidR="007F2E02" w:rsidRDefault="00ED2C2A">
            <w:pPr>
              <w:keepNext/>
              <w:jc w:val="right"/>
            </w:pPr>
            <w:r>
              <w:rPr>
                <w:b/>
                <w:color w:val="FAF7F2"/>
                <w:sz w:val="18"/>
              </w:rPr>
              <w:t>Owner</w:t>
            </w:r>
            <w:r>
              <w:rPr>
                <w:b/>
                <w:color w:val="FAF7F2"/>
                <w:sz w:val="18"/>
              </w:rPr>
              <w:t xml:space="preserve"> FTE</w:t>
            </w:r>
          </w:p>
        </w:tc>
        <w:tc>
          <w:tcPr>
            <w:tcW w:w="1376" w:type="dxa"/>
            <w:shd w:val="clear" w:color="auto" w:fill="1C3A2F"/>
          </w:tcPr>
          <w:p w:rsidR="007F2E02" w:rsidRDefault="00ED2C2A">
            <w:pPr>
              <w:keepNext/>
              <w:jc w:val="right"/>
            </w:pPr>
            <w:r>
              <w:rPr>
                <w:b/>
                <w:color w:val="FAF7F2"/>
                <w:sz w:val="18"/>
              </w:rPr>
              <w:t>Total FTE</w:t>
            </w: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bl>
    <w:p w:rsidR="007F2E02" w:rsidRDefault="007F2E02">
      <w:pPr>
        <w:spacing w:after="40"/>
      </w:pP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Owner labour. </w:t>
            </w:r>
            <w:r>
              <w:rPr>
                <w:sz w:val="20"/>
              </w:rPr>
              <w:t>State whether owner labour is paid. Part XIV tests coverage both ways, and a lender will ask what the owners live on.</w:t>
            </w:r>
          </w:p>
        </w:tc>
      </w:tr>
    </w:tbl>
    <w:p w:rsidR="007F2E02" w:rsidRDefault="007F2E02">
      <w:pPr>
        <w:spacing w:after="40"/>
      </w:pPr>
    </w:p>
    <w:p w:rsidR="007F2E02" w:rsidRDefault="00ED2C2A">
      <w:pPr>
        <w:pStyle w:val="Heading2"/>
      </w:pPr>
      <w:r>
        <w:t>4.6 Technology systems</w:t>
      </w:r>
    </w:p>
    <w:p w:rsidR="007F2E02" w:rsidRDefault="00ED2C2A">
      <w:r>
        <w:rPr>
          <w:i/>
          <w:color w:val="6B6459"/>
        </w:rPr>
        <w:t xml:space="preserve">{Point of sale · accounting · scheduling · marketing · </w:t>
      </w:r>
      <w:r>
        <w:rPr>
          <w:i/>
          <w:color w:val="6B6459"/>
        </w:rPr>
        <w:t>delivery platforms – with the year each is adopted.}</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Equipment cost and capacity – </w:t>
            </w:r>
            <w:r>
              <w:rPr>
                <w:sz w:val="19"/>
              </w:rPr>
              <w:t>supplier quotes and specification sheets – attach the quotes (Appendix E). An analyst treats a round number with no quote behind it as a guess</w:t>
            </w:r>
          </w:p>
          <w:p w:rsidR="007F2E02" w:rsidRDefault="00ED2C2A">
            <w:pPr>
              <w:spacing w:after="40"/>
            </w:pPr>
            <w:r>
              <w:rPr>
                <w:b/>
                <w:sz w:val="19"/>
              </w:rPr>
              <w:t>Fo</w:t>
            </w:r>
            <w:r>
              <w:rPr>
                <w:b/>
                <w:sz w:val="19"/>
              </w:rPr>
              <w:t xml:space="preserve">od safety and health permits – </w:t>
            </w:r>
            <w:r>
              <w:rPr>
                <w:sz w:val="19"/>
              </w:rPr>
              <w:t>your provincial or regional health authority (in BC, the regional health authority and FOODSAFE certification); for other sectors, the licensing body</w:t>
            </w:r>
          </w:p>
          <w:p w:rsidR="007F2E02" w:rsidRDefault="00ED2C2A">
            <w:pPr>
              <w:spacing w:after="40"/>
            </w:pPr>
            <w:r>
              <w:rPr>
                <w:b/>
                <w:sz w:val="19"/>
              </w:rPr>
              <w:lastRenderedPageBreak/>
              <w:t xml:space="preserve">Business licence and permits – </w:t>
            </w:r>
            <w:r>
              <w:rPr>
                <w:sz w:val="19"/>
              </w:rPr>
              <w:t xml:space="preserve">your municipality's business licence office </w:t>
            </w:r>
            <w:r>
              <w:rPr>
                <w:sz w:val="19"/>
              </w:rPr>
              <w:t>and fee schedule</w:t>
            </w:r>
          </w:p>
          <w:p w:rsidR="007F2E02" w:rsidRDefault="00ED2C2A">
            <w:pPr>
              <w:spacing w:after="40"/>
            </w:pPr>
            <w:r>
              <w:rPr>
                <w:b/>
                <w:sz w:val="19"/>
              </w:rPr>
              <w:t xml:space="preserve">Staffing rules and minimum wage – </w:t>
            </w:r>
            <w:r>
              <w:rPr>
                <w:sz w:val="19"/>
              </w:rPr>
              <w:t>your province's Employment Standards branch – minimum wage, hours, statutory holidays, and the schedule of announced increases</w:t>
            </w:r>
          </w:p>
          <w:p w:rsidR="007F2E02" w:rsidRDefault="00ED2C2A">
            <w:pPr>
              <w:spacing w:after="40"/>
            </w:pPr>
            <w:r>
              <w:rPr>
                <w:b/>
                <w:sz w:val="19"/>
              </w:rPr>
              <w:t xml:space="preserve">Workers' compensation rates – </w:t>
            </w:r>
            <w:r>
              <w:rPr>
                <w:sz w:val="19"/>
              </w:rPr>
              <w:t>your provincial board (e.g. WorkSafeBC) – the ra</w:t>
            </w:r>
            <w:r>
              <w:rPr>
                <w:sz w:val="19"/>
              </w:rPr>
              <w:t>te for your classification unit</w:t>
            </w:r>
          </w:p>
        </w:tc>
      </w:tr>
    </w:tbl>
    <w:p w:rsidR="007F2E02" w:rsidRDefault="007F2E02">
      <w:pPr>
        <w:spacing w:after="40"/>
      </w:pPr>
    </w:p>
    <w:p w:rsidR="007F2E02" w:rsidRDefault="00ED2C2A">
      <w:pPr>
        <w:pStyle w:val="Heading1"/>
      </w:pPr>
      <w:bookmarkStart w:id="7" w:name="_Toc240027432"/>
      <w:r>
        <w:lastRenderedPageBreak/>
        <w:t>Part V · Market Analysis</w:t>
      </w:r>
      <w:bookmarkEnd w:id="7"/>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Is there demand, how much, and is it growing or shrinking? Every figure in this part carries a numbered endnote to a real source with its year. This is the part most</w:t>
            </w:r>
            <w:r>
              <w:rPr>
                <w:sz w:val="20"/>
              </w:rPr>
              <w:t xml:space="preserve"> self-written plans fill with adjectives; the analyst skims it for whether the numbers were looked up.</w:t>
            </w:r>
          </w:p>
        </w:tc>
      </w:tr>
    </w:tbl>
    <w:p w:rsidR="007F2E02" w:rsidRDefault="007F2E02">
      <w:pPr>
        <w:spacing w:after="40"/>
      </w:pPr>
    </w:p>
    <w:p w:rsidR="007F2E02" w:rsidRDefault="00ED2C2A">
      <w:pPr>
        <w:pStyle w:val="Heading2"/>
      </w:pPr>
      <w:r>
        <w:t>5.1 Industry overview and size</w:t>
      </w:r>
    </w:p>
    <w:p w:rsidR="007F2E02" w:rsidRDefault="00ED2C2A">
      <w:r>
        <w:rPr>
          <w:i/>
          <w:color w:val="6B6459"/>
        </w:rPr>
        <w:t>{Category size, growth, per-capita consumption, the relevant sub-segment – each with an endnote. Regional advantage if a</w:t>
      </w:r>
      <w:r>
        <w:rPr>
          <w:i/>
          <w:color w:val="6B6459"/>
        </w:rPr>
        <w:t>ny: climate, demographics, policy.}</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402"/>
        <w:gridCol w:w="1984"/>
        <w:gridCol w:w="3402"/>
      </w:tblGrid>
      <w:tr w:rsidR="007F2E02">
        <w:trPr>
          <w:cantSplit/>
          <w:tblHeader/>
          <w:jc w:val="center"/>
        </w:trPr>
        <w:tc>
          <w:tcPr>
            <w:tcW w:w="3402" w:type="dxa"/>
            <w:shd w:val="clear" w:color="auto" w:fill="1C3A2F"/>
          </w:tcPr>
          <w:p w:rsidR="007F2E02" w:rsidRDefault="00ED2C2A">
            <w:pPr>
              <w:keepNext/>
            </w:pPr>
            <w:r>
              <w:rPr>
                <w:b/>
                <w:color w:val="FAF7F2"/>
                <w:sz w:val="18"/>
              </w:rPr>
              <w:t>Metric</w:t>
            </w:r>
          </w:p>
        </w:tc>
        <w:tc>
          <w:tcPr>
            <w:tcW w:w="1984" w:type="dxa"/>
            <w:shd w:val="clear" w:color="auto" w:fill="1C3A2F"/>
          </w:tcPr>
          <w:p w:rsidR="007F2E02" w:rsidRDefault="00ED2C2A">
            <w:pPr>
              <w:keepNext/>
              <w:jc w:val="right"/>
            </w:pPr>
            <w:r>
              <w:rPr>
                <w:b/>
                <w:color w:val="FAF7F2"/>
                <w:sz w:val="18"/>
              </w:rPr>
              <w:t>Value</w:t>
            </w:r>
          </w:p>
        </w:tc>
        <w:tc>
          <w:tcPr>
            <w:tcW w:w="3402" w:type="dxa"/>
            <w:shd w:val="clear" w:color="auto" w:fill="1C3A2F"/>
          </w:tcPr>
          <w:p w:rsidR="007F2E02" w:rsidRDefault="00ED2C2A">
            <w:pPr>
              <w:keepNext/>
              <w:jc w:val="right"/>
            </w:pPr>
            <w:r>
              <w:rPr>
                <w:b/>
                <w:color w:val="FAF7F2"/>
                <w:sz w:val="18"/>
              </w:rPr>
              <w:t>Source (year)</w:t>
            </w:r>
          </w:p>
        </w:tc>
      </w:tr>
      <w:tr w:rsidR="007F2E02">
        <w:trPr>
          <w:jc w:val="center"/>
        </w:trPr>
        <w:tc>
          <w:tcPr>
            <w:tcW w:w="3402" w:type="dxa"/>
          </w:tcPr>
          <w:p w:rsidR="007F2E02" w:rsidRDefault="007F2E02">
            <w:pPr>
              <w:spacing w:after="0"/>
            </w:pPr>
          </w:p>
        </w:tc>
        <w:tc>
          <w:tcPr>
            <w:tcW w:w="1984" w:type="dxa"/>
          </w:tcPr>
          <w:p w:rsidR="007F2E02" w:rsidRDefault="007F2E02">
            <w:pPr>
              <w:spacing w:after="0"/>
              <w:jc w:val="right"/>
            </w:pPr>
          </w:p>
        </w:tc>
        <w:tc>
          <w:tcPr>
            <w:tcW w:w="3402"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984" w:type="dxa"/>
          </w:tcPr>
          <w:p w:rsidR="007F2E02" w:rsidRDefault="007F2E02">
            <w:pPr>
              <w:spacing w:after="0"/>
              <w:jc w:val="right"/>
            </w:pPr>
          </w:p>
        </w:tc>
        <w:tc>
          <w:tcPr>
            <w:tcW w:w="3402"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984" w:type="dxa"/>
          </w:tcPr>
          <w:p w:rsidR="007F2E02" w:rsidRDefault="007F2E02">
            <w:pPr>
              <w:spacing w:after="0"/>
              <w:jc w:val="right"/>
            </w:pPr>
          </w:p>
        </w:tc>
        <w:tc>
          <w:tcPr>
            <w:tcW w:w="3402"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984" w:type="dxa"/>
          </w:tcPr>
          <w:p w:rsidR="007F2E02" w:rsidRDefault="007F2E02">
            <w:pPr>
              <w:spacing w:after="0"/>
              <w:jc w:val="right"/>
            </w:pPr>
          </w:p>
        </w:tc>
        <w:tc>
          <w:tcPr>
            <w:tcW w:w="3402"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984" w:type="dxa"/>
          </w:tcPr>
          <w:p w:rsidR="007F2E02" w:rsidRDefault="007F2E02">
            <w:pPr>
              <w:spacing w:after="0"/>
              <w:jc w:val="right"/>
            </w:pPr>
          </w:p>
        </w:tc>
        <w:tc>
          <w:tcPr>
            <w:tcW w:w="3402" w:type="dxa"/>
          </w:tcPr>
          <w:p w:rsidR="007F2E02" w:rsidRDefault="007F2E02">
            <w:pPr>
              <w:spacing w:after="0"/>
              <w:jc w:val="right"/>
            </w:pPr>
          </w:p>
        </w:tc>
      </w:tr>
    </w:tbl>
    <w:p w:rsidR="007F2E02" w:rsidRDefault="007F2E02">
      <w:pPr>
        <w:spacing w:after="40"/>
      </w:pPr>
    </w:p>
    <w:p w:rsidR="007F2E02" w:rsidRDefault="00ED2C2A">
      <w:pPr>
        <w:pStyle w:val="Heading2"/>
      </w:pPr>
      <w:r>
        <w:t>5.2 Industry structure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551"/>
        <w:gridCol w:w="1984"/>
        <w:gridCol w:w="4252"/>
      </w:tblGrid>
      <w:tr w:rsidR="007F2E02">
        <w:trPr>
          <w:cantSplit/>
          <w:tblHeader/>
          <w:jc w:val="center"/>
        </w:trPr>
        <w:tc>
          <w:tcPr>
            <w:tcW w:w="2551" w:type="dxa"/>
            <w:shd w:val="clear" w:color="auto" w:fill="1C3A2F"/>
          </w:tcPr>
          <w:p w:rsidR="007F2E02" w:rsidRDefault="00ED2C2A">
            <w:pPr>
              <w:keepNext/>
            </w:pPr>
            <w:r>
              <w:rPr>
                <w:b/>
                <w:color w:val="FAF7F2"/>
                <w:sz w:val="18"/>
              </w:rPr>
              <w:t>Factor</w:t>
            </w:r>
          </w:p>
        </w:tc>
        <w:tc>
          <w:tcPr>
            <w:tcW w:w="1984" w:type="dxa"/>
            <w:shd w:val="clear" w:color="auto" w:fill="1C3A2F"/>
          </w:tcPr>
          <w:p w:rsidR="007F2E02" w:rsidRDefault="00ED2C2A">
            <w:pPr>
              <w:keepNext/>
              <w:jc w:val="right"/>
            </w:pPr>
            <w:r>
              <w:rPr>
                <w:b/>
                <w:color w:val="FAF7F2"/>
                <w:sz w:val="18"/>
              </w:rPr>
              <w:t>Rating (low / moderate / high)</w:t>
            </w:r>
          </w:p>
        </w:tc>
        <w:tc>
          <w:tcPr>
            <w:tcW w:w="4252" w:type="dxa"/>
            <w:shd w:val="clear" w:color="auto" w:fill="1C3A2F"/>
          </w:tcPr>
          <w:p w:rsidR="007F2E02" w:rsidRDefault="00ED2C2A">
            <w:pPr>
              <w:keepNext/>
              <w:jc w:val="right"/>
            </w:pPr>
            <w:r>
              <w:rPr>
                <w:b/>
                <w:color w:val="FAF7F2"/>
                <w:sz w:val="18"/>
              </w:rPr>
              <w:t>One line of reasoning</w:t>
            </w:r>
          </w:p>
        </w:tc>
      </w:tr>
      <w:tr w:rsidR="007F2E02">
        <w:trPr>
          <w:jc w:val="center"/>
        </w:trPr>
        <w:tc>
          <w:tcPr>
            <w:tcW w:w="2551" w:type="dxa"/>
          </w:tcPr>
          <w:p w:rsidR="007F2E02" w:rsidRDefault="00ED2C2A">
            <w:pPr>
              <w:spacing w:after="0"/>
            </w:pPr>
            <w:r>
              <w:rPr>
                <w:sz w:val="18"/>
              </w:rPr>
              <w:t>Concentration</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Barriers to entry</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Regulation</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Life-cycle stage</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 xml:space="preserve">Revenue </w:t>
            </w:r>
            <w:r>
              <w:rPr>
                <w:sz w:val="18"/>
              </w:rPr>
              <w:t>volatility</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Competition</w:t>
            </w:r>
          </w:p>
        </w:tc>
        <w:tc>
          <w:tcPr>
            <w:tcW w:w="1984" w:type="dxa"/>
          </w:tcPr>
          <w:p w:rsidR="007F2E02" w:rsidRDefault="007F2E02">
            <w:pPr>
              <w:spacing w:after="0"/>
              <w:jc w:val="right"/>
            </w:pPr>
          </w:p>
        </w:tc>
        <w:tc>
          <w:tcPr>
            <w:tcW w:w="4252" w:type="dxa"/>
          </w:tcPr>
          <w:p w:rsidR="007F2E02" w:rsidRDefault="007F2E02">
            <w:pPr>
              <w:spacing w:after="0"/>
              <w:jc w:val="right"/>
            </w:pPr>
          </w:p>
        </w:tc>
      </w:tr>
      <w:tr w:rsidR="007F2E02">
        <w:trPr>
          <w:jc w:val="center"/>
        </w:trPr>
        <w:tc>
          <w:tcPr>
            <w:tcW w:w="2551" w:type="dxa"/>
          </w:tcPr>
          <w:p w:rsidR="007F2E02" w:rsidRDefault="00ED2C2A">
            <w:pPr>
              <w:spacing w:after="0"/>
            </w:pPr>
            <w:r>
              <w:rPr>
                <w:sz w:val="18"/>
              </w:rPr>
              <w:t>Innovation</w:t>
            </w:r>
          </w:p>
        </w:tc>
        <w:tc>
          <w:tcPr>
            <w:tcW w:w="1984" w:type="dxa"/>
          </w:tcPr>
          <w:p w:rsidR="007F2E02" w:rsidRDefault="007F2E02">
            <w:pPr>
              <w:spacing w:after="0"/>
              <w:jc w:val="right"/>
            </w:pPr>
          </w:p>
        </w:tc>
        <w:tc>
          <w:tcPr>
            <w:tcW w:w="4252" w:type="dxa"/>
          </w:tcPr>
          <w:p w:rsidR="007F2E02" w:rsidRDefault="007F2E02">
            <w:pPr>
              <w:spacing w:after="0"/>
              <w:jc w:val="right"/>
            </w:pPr>
          </w:p>
        </w:tc>
      </w:tr>
    </w:tbl>
    <w:p w:rsidR="007F2E02" w:rsidRDefault="007F2E02">
      <w:pPr>
        <w:spacing w:after="40"/>
      </w:pPr>
    </w:p>
    <w:p w:rsidR="007F2E02" w:rsidRDefault="00ED2C2A">
      <w:pPr>
        <w:pStyle w:val="Heading2"/>
      </w:pPr>
      <w:r>
        <w:t>5.3 Key market drivers</w:t>
      </w:r>
    </w:p>
    <w:p w:rsidR="007F2E02" w:rsidRDefault="00ED2C2A">
      <w:r>
        <w:rPr>
          <w:i/>
          <w:color w:val="6B6459"/>
        </w:rPr>
        <w:t xml:space="preserve">{Four drivers with direction (positive or negative) and a sentence on how each moves this business's revenue: consumer spending, household income in the catchment, tourism or student </w:t>
      </w:r>
      <w:r>
        <w:rPr>
          <w:i/>
          <w:color w:val="6B6459"/>
        </w:rPr>
        <w:t>population, the input-cost trend.}</w:t>
      </w:r>
    </w:p>
    <w:p w:rsidR="007F2E02" w:rsidRDefault="00ED2C2A">
      <w:pPr>
        <w:pStyle w:val="Heading2"/>
      </w:pPr>
      <w:r>
        <w:t>5.4 Consumer trends</w:t>
      </w:r>
    </w:p>
    <w:p w:rsidR="007F2E02" w:rsidRDefault="00ED2C2A">
      <w:r>
        <w:rPr>
          <w:i/>
          <w:color w:val="6B6459"/>
        </w:rPr>
        <w:t>{Two to four trends the concept is built on, each sourced and each tied to a product decision.}</w:t>
      </w:r>
    </w:p>
    <w:p w:rsidR="007F2E02" w:rsidRDefault="00ED2C2A">
      <w:pPr>
        <w:pStyle w:val="Heading2"/>
      </w:pPr>
      <w:r>
        <w:lastRenderedPageBreak/>
        <w:t>5.5 Market size: TAM / SAM / SOM</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Level</w:t>
            </w:r>
          </w:p>
        </w:tc>
        <w:tc>
          <w:tcPr>
            <w:tcW w:w="2408" w:type="dxa"/>
            <w:shd w:val="clear" w:color="auto" w:fill="1C3A2F"/>
          </w:tcPr>
          <w:p w:rsidR="007F2E02" w:rsidRDefault="00ED2C2A">
            <w:pPr>
              <w:keepNext/>
              <w:jc w:val="right"/>
            </w:pPr>
            <w:r>
              <w:rPr>
                <w:b/>
                <w:color w:val="FAF7F2"/>
                <w:sz w:val="18"/>
              </w:rPr>
              <w:t>Definition</w:t>
            </w:r>
          </w:p>
        </w:tc>
        <w:tc>
          <w:tcPr>
            <w:tcW w:w="2408" w:type="dxa"/>
            <w:shd w:val="clear" w:color="auto" w:fill="1C3A2F"/>
          </w:tcPr>
          <w:p w:rsidR="007F2E02" w:rsidRDefault="00ED2C2A">
            <w:pPr>
              <w:keepNext/>
              <w:jc w:val="right"/>
            </w:pPr>
            <w:r>
              <w:rPr>
                <w:b/>
                <w:color w:val="FAF7F2"/>
                <w:sz w:val="18"/>
              </w:rPr>
              <w:t>Calculation</w:t>
            </w:r>
          </w:p>
        </w:tc>
        <w:tc>
          <w:tcPr>
            <w:tcW w:w="2408" w:type="dxa"/>
            <w:shd w:val="clear" w:color="auto" w:fill="1C3A2F"/>
          </w:tcPr>
          <w:p w:rsidR="007F2E02" w:rsidRDefault="00ED2C2A">
            <w:pPr>
              <w:keepNext/>
              <w:jc w:val="right"/>
            </w:pPr>
            <w:r>
              <w:rPr>
                <w:b/>
                <w:color w:val="FAF7F2"/>
                <w:sz w:val="18"/>
              </w:rPr>
              <w:t>Estimate</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r>
        <w:rPr>
          <w:i/>
          <w:color w:val="6B6459"/>
        </w:rPr>
        <w:t xml:space="preserve">{Validation: </w:t>
      </w:r>
      <w:r>
        <w:rPr>
          <w:i/>
          <w:color w:val="6B6459"/>
        </w:rPr>
        <w:t>Year-1 revenue of {$} is {%} of the serviceable obtainable market, {below / within} the range for comparable independent operators ({range}, source).}</w:t>
      </w:r>
    </w:p>
    <w:p w:rsidR="007F2E02" w:rsidRDefault="00ED2C2A">
      <w:pPr>
        <w:pStyle w:val="Heading2"/>
      </w:pPr>
      <w:r>
        <w:t>5.6 Local demographics and segmentation</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211"/>
        <w:gridCol w:w="3211"/>
        <w:gridCol w:w="3211"/>
      </w:tblGrid>
      <w:tr w:rsidR="007F2E02">
        <w:trPr>
          <w:cantSplit/>
          <w:tblHeader/>
          <w:jc w:val="center"/>
        </w:trPr>
        <w:tc>
          <w:tcPr>
            <w:tcW w:w="3211" w:type="dxa"/>
            <w:shd w:val="clear" w:color="auto" w:fill="1C3A2F"/>
          </w:tcPr>
          <w:p w:rsidR="007F2E02" w:rsidRDefault="00ED2C2A">
            <w:pPr>
              <w:keepNext/>
            </w:pPr>
            <w:r>
              <w:rPr>
                <w:b/>
                <w:color w:val="FAF7F2"/>
                <w:sz w:val="18"/>
              </w:rPr>
              <w:t>Indicator (catchment)</w:t>
            </w:r>
          </w:p>
        </w:tc>
        <w:tc>
          <w:tcPr>
            <w:tcW w:w="3211" w:type="dxa"/>
            <w:shd w:val="clear" w:color="auto" w:fill="1C3A2F"/>
          </w:tcPr>
          <w:p w:rsidR="007F2E02" w:rsidRDefault="00ED2C2A">
            <w:pPr>
              <w:keepNext/>
              <w:jc w:val="right"/>
            </w:pPr>
            <w:r>
              <w:rPr>
                <w:b/>
                <w:color w:val="FAF7F2"/>
                <w:sz w:val="18"/>
              </w:rPr>
              <w:t>Value</w:t>
            </w:r>
          </w:p>
        </w:tc>
        <w:tc>
          <w:tcPr>
            <w:tcW w:w="3211" w:type="dxa"/>
            <w:shd w:val="clear" w:color="auto" w:fill="1C3A2F"/>
          </w:tcPr>
          <w:p w:rsidR="007F2E02" w:rsidRDefault="00ED2C2A">
            <w:pPr>
              <w:keepNext/>
              <w:jc w:val="right"/>
            </w:pPr>
            <w:r>
              <w:rPr>
                <w:b/>
                <w:color w:val="FAF7F2"/>
                <w:sz w:val="18"/>
              </w:rPr>
              <w:t>Implication</w:t>
            </w: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Segment</w:t>
            </w:r>
          </w:p>
        </w:tc>
        <w:tc>
          <w:tcPr>
            <w:tcW w:w="1926" w:type="dxa"/>
            <w:shd w:val="clear" w:color="auto" w:fill="1C3A2F"/>
          </w:tcPr>
          <w:p w:rsidR="007F2E02" w:rsidRDefault="00ED2C2A">
            <w:pPr>
              <w:keepNext/>
              <w:jc w:val="right"/>
            </w:pPr>
            <w:r>
              <w:rPr>
                <w:b/>
                <w:color w:val="FAF7F2"/>
                <w:sz w:val="18"/>
              </w:rPr>
              <w:t>Description</w:t>
            </w:r>
          </w:p>
        </w:tc>
        <w:tc>
          <w:tcPr>
            <w:tcW w:w="1926" w:type="dxa"/>
            <w:shd w:val="clear" w:color="auto" w:fill="1C3A2F"/>
          </w:tcPr>
          <w:p w:rsidR="007F2E02" w:rsidRDefault="00ED2C2A">
            <w:pPr>
              <w:keepNext/>
              <w:jc w:val="right"/>
            </w:pPr>
            <w:r>
              <w:rPr>
                <w:b/>
                <w:color w:val="FAF7F2"/>
                <w:sz w:val="18"/>
              </w:rPr>
              <w:t>Characteristics</w:t>
            </w:r>
          </w:p>
        </w:tc>
        <w:tc>
          <w:tcPr>
            <w:tcW w:w="1926" w:type="dxa"/>
            <w:shd w:val="clear" w:color="auto" w:fill="1C3A2F"/>
          </w:tcPr>
          <w:p w:rsidR="007F2E02" w:rsidRDefault="00ED2C2A">
            <w:pPr>
              <w:keepNext/>
              <w:jc w:val="right"/>
            </w:pPr>
            <w:r>
              <w:rPr>
                <w:b/>
                <w:color w:val="FAF7F2"/>
                <w:sz w:val="18"/>
              </w:rPr>
              <w:t>What they buy</w:t>
            </w:r>
          </w:p>
        </w:tc>
        <w:tc>
          <w:tcPr>
            <w:tcW w:w="1926" w:type="dxa"/>
            <w:shd w:val="clear" w:color="auto" w:fill="1C3A2F"/>
          </w:tcPr>
          <w:p w:rsidR="007F2E02" w:rsidRDefault="00ED2C2A">
            <w:pPr>
              <w:keepNext/>
              <w:jc w:val="right"/>
            </w:pPr>
            <w:r>
              <w:rPr>
                <w:b/>
                <w:color w:val="FAF7F2"/>
                <w:sz w:val="18"/>
              </w:rPr>
              <w:t>When they come</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Industry size, revenue, number of businesses, growth – free, by NAICS code – </w:t>
            </w:r>
            <w:r>
              <w:rPr>
                <w:sz w:val="19"/>
              </w:rPr>
              <w:t xml:space="preserve">Canadian Industry Statistics, ISED – </w:t>
            </w:r>
            <w:r>
              <w:rPr>
                <w:sz w:val="19"/>
              </w:rPr>
              <w:t>ised-isde.canada.ca/app/ixb/cis. Find your six-digit NAICS code first; everything else keys off it</w:t>
            </w:r>
          </w:p>
          <w:p w:rsidR="007F2E02" w:rsidRDefault="00ED2C2A">
            <w:pPr>
              <w:spacing w:after="40"/>
            </w:pPr>
            <w:r>
              <w:rPr>
                <w:b/>
                <w:sz w:val="19"/>
              </w:rPr>
              <w:t xml:space="preserve">Industry revenue series – </w:t>
            </w:r>
            <w:r>
              <w:rPr>
                <w:sz w:val="19"/>
              </w:rPr>
              <w:t>Statistics Canada data tables – statcan.gc.ca (e.g. monthly food services and drinking places receipts; retail trade by subsector);</w:t>
            </w:r>
            <w:r>
              <w:rPr>
                <w:sz w:val="19"/>
              </w:rPr>
              <w:t xml:space="preserve"> IBISWorld Canada if you have library access</w:t>
            </w:r>
          </w:p>
          <w:p w:rsidR="007F2E02" w:rsidRDefault="00ED2C2A">
            <w:pPr>
              <w:spacing w:after="40"/>
            </w:pPr>
            <w:r>
              <w:rPr>
                <w:b/>
                <w:sz w:val="19"/>
              </w:rPr>
              <w:t xml:space="preserve">Catchment population, age, household income – </w:t>
            </w:r>
            <w:r>
              <w:rPr>
                <w:sz w:val="19"/>
              </w:rPr>
              <w:t>Statistics Canada Census Profile 2021, by census tract – statcan.gc.ca. Use the tract, not the city</w:t>
            </w:r>
          </w:p>
          <w:p w:rsidR="007F2E02" w:rsidRDefault="00ED2C2A">
            <w:pPr>
              <w:spacing w:after="40"/>
            </w:pPr>
            <w:r>
              <w:rPr>
                <w:b/>
                <w:sz w:val="19"/>
              </w:rPr>
              <w:t xml:space="preserve">Consumer trends – </w:t>
            </w:r>
            <w:r>
              <w:rPr>
                <w:sz w:val="19"/>
              </w:rPr>
              <w:t>Statistics Canada 'The Daily' releases; your in</w:t>
            </w:r>
            <w:r>
              <w:rPr>
                <w:sz w:val="19"/>
              </w:rPr>
              <w:t>dustry association (Restaurants Canada, Retail Council of Canada, and the equivalent for your sector); Agriculture and Agri-Food Canada consumer reports for food</w:t>
            </w:r>
          </w:p>
          <w:p w:rsidR="007F2E02" w:rsidRDefault="00ED2C2A">
            <w:pPr>
              <w:spacing w:after="40"/>
            </w:pPr>
            <w:r>
              <w:rPr>
                <w:b/>
                <w:sz w:val="19"/>
              </w:rPr>
              <w:t xml:space="preserve">Tourism and visitor volumes – </w:t>
            </w:r>
            <w:r>
              <w:rPr>
                <w:sz w:val="19"/>
              </w:rPr>
              <w:t>Destination Canada and your provincial tourism agency's statisti</w:t>
            </w:r>
            <w:r>
              <w:rPr>
                <w:sz w:val="19"/>
              </w:rPr>
              <w:t>cs page; the local destination marketing organisation</w:t>
            </w:r>
          </w:p>
          <w:p w:rsidR="007F2E02" w:rsidRDefault="00ED2C2A">
            <w:pPr>
              <w:spacing w:after="40"/>
            </w:pPr>
            <w:r>
              <w:rPr>
                <w:b/>
                <w:sz w:val="19"/>
              </w:rPr>
              <w:t xml:space="preserve">Student or institutional population – </w:t>
            </w:r>
            <w:r>
              <w:rPr>
                <w:sz w:val="19"/>
              </w:rPr>
              <w:t>the institution's own enrolment or headcount report</w:t>
            </w:r>
          </w:p>
        </w:tc>
      </w:tr>
    </w:tbl>
    <w:p w:rsidR="007F2E02" w:rsidRDefault="007F2E02">
      <w:pPr>
        <w:spacing w:after="40"/>
      </w:pPr>
    </w:p>
    <w:p w:rsidR="007F2E02" w:rsidRDefault="00ED2C2A">
      <w:pPr>
        <w:pStyle w:val="Heading1"/>
      </w:pPr>
      <w:bookmarkStart w:id="8" w:name="_Toc240027433"/>
      <w:r>
        <w:lastRenderedPageBreak/>
        <w:t>Part VI · Competition and Positioning</w:t>
      </w:r>
      <w:bookmarkEnd w:id="8"/>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Named competitors with distance and </w:t>
            </w:r>
            <w:r>
              <w:rPr>
                <w:sz w:val="20"/>
              </w:rPr>
              <w:t>position, a matrix that shows the gap you are taking, and a SWOT specific enough to be wrong. The weakness the analyst would name first should be the first one you name – with its mitigant in the same cell.</w:t>
            </w:r>
          </w:p>
        </w:tc>
      </w:tr>
    </w:tbl>
    <w:p w:rsidR="007F2E02" w:rsidRDefault="007F2E02">
      <w:pPr>
        <w:spacing w:after="40"/>
      </w:pPr>
    </w:p>
    <w:p w:rsidR="007F2E02" w:rsidRDefault="00ED2C2A">
      <w:pPr>
        <w:pStyle w:val="Heading2"/>
      </w:pPr>
      <w:r>
        <w:t>6.1 Direct competitors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376"/>
        <w:gridCol w:w="1376"/>
        <w:gridCol w:w="1376"/>
        <w:gridCol w:w="1376"/>
        <w:gridCol w:w="1376"/>
        <w:gridCol w:w="1376"/>
        <w:gridCol w:w="1376"/>
      </w:tblGrid>
      <w:tr w:rsidR="007F2E02">
        <w:trPr>
          <w:cantSplit/>
          <w:tblHeader/>
          <w:jc w:val="center"/>
        </w:trPr>
        <w:tc>
          <w:tcPr>
            <w:tcW w:w="1376" w:type="dxa"/>
            <w:shd w:val="clear" w:color="auto" w:fill="1C3A2F"/>
          </w:tcPr>
          <w:p w:rsidR="007F2E02" w:rsidRDefault="00ED2C2A">
            <w:pPr>
              <w:keepNext/>
            </w:pPr>
            <w:r>
              <w:rPr>
                <w:b/>
                <w:color w:val="FAF7F2"/>
                <w:sz w:val="18"/>
              </w:rPr>
              <w:t>Competitor</w:t>
            </w:r>
          </w:p>
        </w:tc>
        <w:tc>
          <w:tcPr>
            <w:tcW w:w="1376" w:type="dxa"/>
            <w:shd w:val="clear" w:color="auto" w:fill="1C3A2F"/>
          </w:tcPr>
          <w:p w:rsidR="007F2E02" w:rsidRDefault="00ED2C2A">
            <w:pPr>
              <w:keepNext/>
              <w:jc w:val="right"/>
            </w:pPr>
            <w:r>
              <w:rPr>
                <w:b/>
                <w:color w:val="FAF7F2"/>
                <w:sz w:val="18"/>
              </w:rPr>
              <w:t>Location</w:t>
            </w:r>
          </w:p>
        </w:tc>
        <w:tc>
          <w:tcPr>
            <w:tcW w:w="1376" w:type="dxa"/>
            <w:shd w:val="clear" w:color="auto" w:fill="1C3A2F"/>
          </w:tcPr>
          <w:p w:rsidR="007F2E02" w:rsidRDefault="00ED2C2A">
            <w:pPr>
              <w:keepNext/>
              <w:jc w:val="right"/>
            </w:pPr>
            <w:r>
              <w:rPr>
                <w:b/>
                <w:color w:val="FAF7F2"/>
                <w:sz w:val="18"/>
              </w:rPr>
              <w:t>Posi</w:t>
            </w:r>
            <w:r>
              <w:rPr>
                <w:b/>
                <w:color w:val="FAF7F2"/>
                <w:sz w:val="18"/>
              </w:rPr>
              <w:t>tioning</w:t>
            </w:r>
          </w:p>
        </w:tc>
        <w:tc>
          <w:tcPr>
            <w:tcW w:w="1376" w:type="dxa"/>
            <w:shd w:val="clear" w:color="auto" w:fill="1C3A2F"/>
          </w:tcPr>
          <w:p w:rsidR="007F2E02" w:rsidRDefault="00ED2C2A">
            <w:pPr>
              <w:keepNext/>
              <w:jc w:val="right"/>
            </w:pPr>
            <w:r>
              <w:rPr>
                <w:b/>
                <w:color w:val="FAF7F2"/>
                <w:sz w:val="18"/>
              </w:rPr>
              <w:t>Distance</w:t>
            </w:r>
          </w:p>
        </w:tc>
        <w:tc>
          <w:tcPr>
            <w:tcW w:w="1376" w:type="dxa"/>
            <w:shd w:val="clear" w:color="auto" w:fill="1C3A2F"/>
          </w:tcPr>
          <w:p w:rsidR="007F2E02" w:rsidRDefault="00ED2C2A">
            <w:pPr>
              <w:keepNext/>
              <w:jc w:val="right"/>
            </w:pPr>
            <w:r>
              <w:rPr>
                <w:b/>
                <w:color w:val="FAF7F2"/>
                <w:sz w:val="18"/>
              </w:rPr>
              <w:t>Rating · reviews</w:t>
            </w:r>
          </w:p>
        </w:tc>
        <w:tc>
          <w:tcPr>
            <w:tcW w:w="1376" w:type="dxa"/>
            <w:shd w:val="clear" w:color="auto" w:fill="1C3A2F"/>
          </w:tcPr>
          <w:p w:rsidR="007F2E02" w:rsidRDefault="00ED2C2A">
            <w:pPr>
              <w:keepNext/>
              <w:jc w:val="right"/>
            </w:pPr>
            <w:r>
              <w:rPr>
                <w:b/>
                <w:color w:val="FAF7F2"/>
                <w:sz w:val="18"/>
              </w:rPr>
              <w:t>Price band</w:t>
            </w:r>
          </w:p>
        </w:tc>
        <w:tc>
          <w:tcPr>
            <w:tcW w:w="1376" w:type="dxa"/>
            <w:shd w:val="clear" w:color="auto" w:fill="1C3A2F"/>
          </w:tcPr>
          <w:p w:rsidR="007F2E02" w:rsidRDefault="00ED2C2A">
            <w:pPr>
              <w:keepNext/>
              <w:jc w:val="right"/>
            </w:pPr>
            <w:r>
              <w:rPr>
                <w:b/>
                <w:color w:val="FAF7F2"/>
                <w:sz w:val="18"/>
              </w:rPr>
              <w:t>Threat</w:t>
            </w: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r w:rsidR="007F2E02">
        <w:trPr>
          <w:jc w:val="center"/>
        </w:trPr>
        <w:tc>
          <w:tcPr>
            <w:tcW w:w="1376" w:type="dxa"/>
          </w:tcPr>
          <w:p w:rsidR="007F2E02" w:rsidRDefault="007F2E02">
            <w:pPr>
              <w:spacing w:after="0"/>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c>
          <w:tcPr>
            <w:tcW w:w="1376" w:type="dxa"/>
          </w:tcPr>
          <w:p w:rsidR="007F2E02" w:rsidRDefault="007F2E02">
            <w:pPr>
              <w:spacing w:after="0"/>
              <w:jc w:val="right"/>
            </w:pPr>
          </w:p>
        </w:tc>
      </w:tr>
    </w:tbl>
    <w:p w:rsidR="007F2E02" w:rsidRDefault="007F2E02">
      <w:pPr>
        <w:spacing w:after="40"/>
      </w:pPr>
    </w:p>
    <w:p w:rsidR="007F2E02" w:rsidRDefault="00ED2C2A">
      <w:pPr>
        <w:pStyle w:val="Heading2"/>
      </w:pPr>
      <w:r>
        <w:t>6.2 Positioning matrix</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Feature</w:t>
            </w:r>
          </w:p>
        </w:tc>
        <w:tc>
          <w:tcPr>
            <w:tcW w:w="1926" w:type="dxa"/>
            <w:shd w:val="clear" w:color="auto" w:fill="1C3A2F"/>
          </w:tcPr>
          <w:p w:rsidR="007F2E02" w:rsidRDefault="00ED2C2A">
            <w:pPr>
              <w:keepNext/>
              <w:jc w:val="right"/>
            </w:pPr>
            <w:r>
              <w:rPr>
                <w:b/>
                <w:color w:val="FAF7F2"/>
                <w:sz w:val="18"/>
              </w:rPr>
              <w:t>{Company}</w:t>
            </w:r>
          </w:p>
        </w:tc>
        <w:tc>
          <w:tcPr>
            <w:tcW w:w="1926" w:type="dxa"/>
            <w:shd w:val="clear" w:color="auto" w:fill="1C3A2F"/>
          </w:tcPr>
          <w:p w:rsidR="007F2E02" w:rsidRDefault="00ED2C2A">
            <w:pPr>
              <w:keepNext/>
              <w:jc w:val="right"/>
            </w:pPr>
            <w:r>
              <w:rPr>
                <w:b/>
                <w:color w:val="FAF7F2"/>
                <w:sz w:val="18"/>
              </w:rPr>
              <w:t>{Competitor A}</w:t>
            </w:r>
          </w:p>
        </w:tc>
        <w:tc>
          <w:tcPr>
            <w:tcW w:w="1926" w:type="dxa"/>
            <w:shd w:val="clear" w:color="auto" w:fill="1C3A2F"/>
          </w:tcPr>
          <w:p w:rsidR="007F2E02" w:rsidRDefault="00ED2C2A">
            <w:pPr>
              <w:keepNext/>
              <w:jc w:val="right"/>
            </w:pPr>
            <w:r>
              <w:rPr>
                <w:b/>
                <w:color w:val="FAF7F2"/>
                <w:sz w:val="18"/>
              </w:rPr>
              <w:t>{Competitor B}</w:t>
            </w:r>
          </w:p>
        </w:tc>
        <w:tc>
          <w:tcPr>
            <w:tcW w:w="1926" w:type="dxa"/>
            <w:shd w:val="clear" w:color="auto" w:fill="1C3A2F"/>
          </w:tcPr>
          <w:p w:rsidR="007F2E02" w:rsidRDefault="00ED2C2A">
            <w:pPr>
              <w:keepNext/>
              <w:jc w:val="right"/>
            </w:pPr>
            <w:r>
              <w:rPr>
                <w:b/>
                <w:color w:val="FAF7F2"/>
                <w:sz w:val="18"/>
              </w:rPr>
              <w:t>{Competitor C}</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Price · quality · convenience </w:t>
      </w:r>
      <w:r>
        <w:rPr>
          <w:color w:val="6B6459"/>
          <w:sz w:val="19"/>
        </w:rPr>
        <w:t>· ambience · access · hours. State the gap the matrix shows.</w:t>
      </w:r>
    </w:p>
    <w:p w:rsidR="007F2E02" w:rsidRDefault="00ED2C2A">
      <w:pPr>
        <w:pStyle w:val="Heading2"/>
      </w:pPr>
      <w:r>
        <w:t>6.3 Competitive advantages</w:t>
      </w:r>
    </w:p>
    <w:p w:rsidR="007F2E02" w:rsidRDefault="00ED2C2A">
      <w:r>
        <w:rPr>
          <w:i/>
          <w:color w:val="6B6459"/>
        </w:rPr>
        <w:t>{Five to seven bullets, each a claim and its evidence: location, product, cost structure, team, channel, experience. No adjectives without a number or a name.}</w:t>
      </w:r>
    </w:p>
    <w:p w:rsidR="007F2E02" w:rsidRDefault="00ED2C2A">
      <w:pPr>
        <w:pStyle w:val="Heading2"/>
      </w:pPr>
      <w:r>
        <w:t>6.4 SWOT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394"/>
        <w:gridCol w:w="4394"/>
      </w:tblGrid>
      <w:tr w:rsidR="007F2E02">
        <w:trPr>
          <w:cantSplit/>
          <w:tblHeader/>
          <w:jc w:val="center"/>
        </w:trPr>
        <w:tc>
          <w:tcPr>
            <w:tcW w:w="4394" w:type="dxa"/>
            <w:shd w:val="clear" w:color="auto" w:fill="1C3A2F"/>
          </w:tcPr>
          <w:p w:rsidR="007F2E02" w:rsidRDefault="00ED2C2A">
            <w:pPr>
              <w:keepNext/>
            </w:pPr>
            <w:r>
              <w:rPr>
                <w:b/>
                <w:color w:val="FAF7F2"/>
                <w:sz w:val="18"/>
              </w:rPr>
              <w:t>Strengths</w:t>
            </w:r>
          </w:p>
        </w:tc>
        <w:tc>
          <w:tcPr>
            <w:tcW w:w="4394" w:type="dxa"/>
            <w:shd w:val="clear" w:color="auto" w:fill="1C3A2F"/>
          </w:tcPr>
          <w:p w:rsidR="007F2E02" w:rsidRDefault="00ED2C2A">
            <w:pPr>
              <w:keepNext/>
              <w:jc w:val="right"/>
            </w:pPr>
            <w:r>
              <w:rPr>
                <w:b/>
                <w:color w:val="FAF7F2"/>
                <w:sz w:val="18"/>
              </w:rPr>
              <w:t>Weaknesses (with mitigant)</w:t>
            </w: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394"/>
        <w:gridCol w:w="4394"/>
      </w:tblGrid>
      <w:tr w:rsidR="007F2E02">
        <w:trPr>
          <w:cantSplit/>
          <w:tblHeader/>
          <w:jc w:val="center"/>
        </w:trPr>
        <w:tc>
          <w:tcPr>
            <w:tcW w:w="4394" w:type="dxa"/>
            <w:shd w:val="clear" w:color="auto" w:fill="1C3A2F"/>
          </w:tcPr>
          <w:p w:rsidR="007F2E02" w:rsidRDefault="00ED2C2A">
            <w:pPr>
              <w:keepNext/>
            </w:pPr>
            <w:r>
              <w:rPr>
                <w:b/>
                <w:color w:val="FAF7F2"/>
                <w:sz w:val="18"/>
              </w:rPr>
              <w:t>Opportunities</w:t>
            </w:r>
          </w:p>
        </w:tc>
        <w:tc>
          <w:tcPr>
            <w:tcW w:w="4394" w:type="dxa"/>
            <w:shd w:val="clear" w:color="auto" w:fill="1C3A2F"/>
          </w:tcPr>
          <w:p w:rsidR="007F2E02" w:rsidRDefault="00ED2C2A">
            <w:pPr>
              <w:keepNext/>
              <w:jc w:val="right"/>
            </w:pPr>
            <w:r>
              <w:rPr>
                <w:b/>
                <w:color w:val="FAF7F2"/>
                <w:sz w:val="18"/>
              </w:rPr>
              <w:t>Threats (with mitigant)</w:t>
            </w: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r w:rsidR="007F2E02">
        <w:trPr>
          <w:jc w:val="center"/>
        </w:trPr>
        <w:tc>
          <w:tcPr>
            <w:tcW w:w="4394" w:type="dxa"/>
          </w:tcPr>
          <w:p w:rsidR="007F2E02" w:rsidRDefault="007F2E02">
            <w:pPr>
              <w:spacing w:after="0"/>
            </w:pPr>
          </w:p>
        </w:tc>
        <w:tc>
          <w:tcPr>
            <w:tcW w:w="4394" w:type="dxa"/>
          </w:tcPr>
          <w:p w:rsidR="007F2E02" w:rsidRDefault="007F2E02">
            <w:pPr>
              <w:spacing w:after="0"/>
              <w:jc w:val="right"/>
            </w:pPr>
          </w:p>
        </w:tc>
      </w:tr>
    </w:tbl>
    <w:p w:rsidR="007F2E02" w:rsidRDefault="007F2E02">
      <w:pPr>
        <w:spacing w:after="40"/>
      </w:pP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Competitor locations, hours, ratings, review counts – </w:t>
            </w:r>
            <w:r>
              <w:rPr>
                <w:sz w:val="19"/>
              </w:rPr>
              <w:t xml:space="preserve">Google Maps and Google Business Profile listings, with the date checked; </w:t>
            </w:r>
            <w:r>
              <w:rPr>
                <w:sz w:val="19"/>
              </w:rPr>
              <w:t>Yelp for a second read</w:t>
            </w:r>
          </w:p>
          <w:p w:rsidR="007F2E02" w:rsidRDefault="00ED2C2A">
            <w:pPr>
              <w:spacing w:after="40"/>
            </w:pPr>
            <w:r>
              <w:rPr>
                <w:b/>
                <w:sz w:val="19"/>
              </w:rPr>
              <w:t xml:space="preserve">Competitor prices and positioning – </w:t>
            </w:r>
            <w:r>
              <w:rPr>
                <w:sz w:val="19"/>
              </w:rPr>
              <w:t>their websites and menus; a visit. An analyst who knows the sector will know if you have not been</w:t>
            </w:r>
          </w:p>
          <w:p w:rsidR="007F2E02" w:rsidRDefault="00ED2C2A">
            <w:pPr>
              <w:spacing w:after="40"/>
            </w:pPr>
            <w:r>
              <w:rPr>
                <w:b/>
                <w:sz w:val="19"/>
              </w:rPr>
              <w:t xml:space="preserve">Distance – </w:t>
            </w:r>
            <w:r>
              <w:rPr>
                <w:sz w:val="19"/>
              </w:rPr>
              <w:t>Google Maps walking and driving time from your premises</w:t>
            </w:r>
          </w:p>
        </w:tc>
      </w:tr>
    </w:tbl>
    <w:p w:rsidR="007F2E02" w:rsidRDefault="007F2E02">
      <w:pPr>
        <w:spacing w:after="40"/>
      </w:pPr>
    </w:p>
    <w:p w:rsidR="007F2E02" w:rsidRDefault="00ED2C2A">
      <w:pPr>
        <w:pStyle w:val="Heading1"/>
      </w:pPr>
      <w:bookmarkStart w:id="9" w:name="_Toc240027434"/>
      <w:r>
        <w:lastRenderedPageBreak/>
        <w:t>Part VII · Marketing Strategy</w:t>
      </w:r>
      <w:bookmarkEnd w:id="9"/>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How customers will find out, what it costs, and whether the budget in this part equals the marketing line in the forecast. The benchmark table at the end is the one the analyst reads: cost of sales, labour and margin against</w:t>
            </w:r>
            <w:r>
              <w:rPr>
                <w:sz w:val="20"/>
              </w:rPr>
              <w:t xml:space="preserve"> what the industry actually runs at.</w:t>
            </w:r>
          </w:p>
        </w:tc>
      </w:tr>
    </w:tbl>
    <w:p w:rsidR="007F2E02" w:rsidRDefault="007F2E02">
      <w:pPr>
        <w:spacing w:after="40"/>
      </w:pPr>
    </w:p>
    <w:p w:rsidR="007F2E02" w:rsidRDefault="00ED2C2A">
      <w:pPr>
        <w:pStyle w:val="Heading2"/>
      </w:pPr>
      <w:r>
        <w:t>7.1 Strategy framework</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551"/>
        <w:gridCol w:w="1701"/>
        <w:gridCol w:w="4535"/>
      </w:tblGrid>
      <w:tr w:rsidR="007F2E02">
        <w:trPr>
          <w:cantSplit/>
          <w:tblHeader/>
          <w:jc w:val="center"/>
        </w:trPr>
        <w:tc>
          <w:tcPr>
            <w:tcW w:w="2551" w:type="dxa"/>
            <w:shd w:val="clear" w:color="auto" w:fill="1C3A2F"/>
          </w:tcPr>
          <w:p w:rsidR="007F2E02" w:rsidRDefault="00ED2C2A">
            <w:pPr>
              <w:keepNext/>
            </w:pPr>
            <w:r>
              <w:rPr>
                <w:b/>
                <w:color w:val="FAF7F2"/>
                <w:sz w:val="18"/>
              </w:rPr>
              <w:t>Product format</w:t>
            </w:r>
          </w:p>
        </w:tc>
        <w:tc>
          <w:tcPr>
            <w:tcW w:w="1701" w:type="dxa"/>
            <w:shd w:val="clear" w:color="auto" w:fill="1C3A2F"/>
          </w:tcPr>
          <w:p w:rsidR="007F2E02" w:rsidRDefault="00ED2C2A">
            <w:pPr>
              <w:keepNext/>
              <w:jc w:val="right"/>
            </w:pPr>
            <w:r>
              <w:rPr>
                <w:b/>
                <w:color w:val="FAF7F2"/>
                <w:sz w:val="18"/>
              </w:rPr>
              <w:t>Price</w:t>
            </w:r>
          </w:p>
        </w:tc>
        <w:tc>
          <w:tcPr>
            <w:tcW w:w="4535" w:type="dxa"/>
            <w:shd w:val="clear" w:color="auto" w:fill="1C3A2F"/>
          </w:tcPr>
          <w:p w:rsidR="007F2E02" w:rsidRDefault="00ED2C2A">
            <w:pPr>
              <w:keepNext/>
              <w:jc w:val="right"/>
            </w:pPr>
            <w:r>
              <w:rPr>
                <w:b/>
                <w:color w:val="FAF7F2"/>
                <w:sz w:val="18"/>
              </w:rPr>
              <w:t>Strategic rationale</w:t>
            </w:r>
          </w:p>
        </w:tc>
      </w:tr>
      <w:tr w:rsidR="007F2E02">
        <w:trPr>
          <w:jc w:val="center"/>
        </w:trPr>
        <w:tc>
          <w:tcPr>
            <w:tcW w:w="2551" w:type="dxa"/>
          </w:tcPr>
          <w:p w:rsidR="007F2E02" w:rsidRDefault="007F2E02">
            <w:pPr>
              <w:spacing w:after="0"/>
            </w:pPr>
          </w:p>
        </w:tc>
        <w:tc>
          <w:tcPr>
            <w:tcW w:w="1701"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2551" w:type="dxa"/>
          </w:tcPr>
          <w:p w:rsidR="007F2E02" w:rsidRDefault="007F2E02">
            <w:pPr>
              <w:spacing w:after="0"/>
            </w:pPr>
          </w:p>
        </w:tc>
        <w:tc>
          <w:tcPr>
            <w:tcW w:w="1701"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2551" w:type="dxa"/>
          </w:tcPr>
          <w:p w:rsidR="007F2E02" w:rsidRDefault="007F2E02">
            <w:pPr>
              <w:spacing w:after="0"/>
            </w:pPr>
          </w:p>
        </w:tc>
        <w:tc>
          <w:tcPr>
            <w:tcW w:w="1701" w:type="dxa"/>
          </w:tcPr>
          <w:p w:rsidR="007F2E02" w:rsidRDefault="007F2E02">
            <w:pPr>
              <w:spacing w:after="0"/>
              <w:jc w:val="right"/>
            </w:pPr>
          </w:p>
        </w:tc>
        <w:tc>
          <w:tcPr>
            <w:tcW w:w="4535" w:type="dxa"/>
          </w:tcPr>
          <w:p w:rsidR="007F2E02" w:rsidRDefault="007F2E02">
            <w:pPr>
              <w:spacing w:after="0"/>
              <w:jc w:val="right"/>
            </w:pPr>
          </w:p>
        </w:tc>
      </w:tr>
      <w:tr w:rsidR="007F2E02">
        <w:trPr>
          <w:jc w:val="center"/>
        </w:trPr>
        <w:tc>
          <w:tcPr>
            <w:tcW w:w="2551" w:type="dxa"/>
          </w:tcPr>
          <w:p w:rsidR="007F2E02" w:rsidRDefault="007F2E02">
            <w:pPr>
              <w:spacing w:after="0"/>
            </w:pPr>
          </w:p>
        </w:tc>
        <w:tc>
          <w:tcPr>
            <w:tcW w:w="1701" w:type="dxa"/>
          </w:tcPr>
          <w:p w:rsidR="007F2E02" w:rsidRDefault="007F2E02">
            <w:pPr>
              <w:spacing w:after="0"/>
              <w:jc w:val="right"/>
            </w:pPr>
          </w:p>
        </w:tc>
        <w:tc>
          <w:tcPr>
            <w:tcW w:w="4535" w:type="dxa"/>
          </w:tcPr>
          <w:p w:rsidR="007F2E02" w:rsidRDefault="007F2E02">
            <w:pPr>
              <w:spacing w:after="0"/>
              <w:jc w:val="right"/>
            </w:pPr>
          </w:p>
        </w:tc>
      </w:tr>
    </w:tbl>
    <w:p w:rsidR="007F2E02" w:rsidRDefault="007F2E02">
      <w:pPr>
        <w:spacing w:after="40"/>
      </w:pPr>
    </w:p>
    <w:p w:rsidR="007F2E02" w:rsidRDefault="00ED2C2A">
      <w:pPr>
        <w:pStyle w:val="Heading2"/>
      </w:pPr>
      <w:r>
        <w:t>7.2 Channel allocation</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Channel</w:t>
            </w:r>
          </w:p>
        </w:tc>
        <w:tc>
          <w:tcPr>
            <w:tcW w:w="2408" w:type="dxa"/>
            <w:shd w:val="clear" w:color="auto" w:fill="1C3A2F"/>
          </w:tcPr>
          <w:p w:rsidR="007F2E02" w:rsidRDefault="00ED2C2A">
            <w:pPr>
              <w:keepNext/>
              <w:jc w:val="right"/>
            </w:pPr>
            <w:r>
              <w:rPr>
                <w:b/>
                <w:color w:val="FAF7F2"/>
                <w:sz w:val="18"/>
              </w:rPr>
              <w:t>% of budget</w:t>
            </w:r>
          </w:p>
        </w:tc>
        <w:tc>
          <w:tcPr>
            <w:tcW w:w="2408" w:type="dxa"/>
            <w:shd w:val="clear" w:color="auto" w:fill="1C3A2F"/>
          </w:tcPr>
          <w:p w:rsidR="007F2E02" w:rsidRDefault="00ED2C2A">
            <w:pPr>
              <w:keepNext/>
              <w:jc w:val="right"/>
            </w:pPr>
            <w:r>
              <w:rPr>
                <w:b/>
                <w:color w:val="FAF7F2"/>
                <w:sz w:val="18"/>
              </w:rPr>
              <w:t>Year-1 $</w:t>
            </w:r>
          </w:p>
        </w:tc>
        <w:tc>
          <w:tcPr>
            <w:tcW w:w="2408" w:type="dxa"/>
            <w:shd w:val="clear" w:color="auto" w:fill="1C3A2F"/>
          </w:tcPr>
          <w:p w:rsidR="007F2E02" w:rsidRDefault="00ED2C2A">
            <w:pPr>
              <w:keepNext/>
              <w:jc w:val="right"/>
            </w:pPr>
            <w:r>
              <w:rPr>
                <w:b/>
                <w:color w:val="FAF7F2"/>
                <w:sz w:val="18"/>
              </w:rPr>
              <w:t>Primary target</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r>
        <w:rPr>
          <w:i/>
          <w:color w:val="6B6459"/>
        </w:rPr>
        <w:t xml:space="preserve">{Total equals the marketing line in Part </w:t>
      </w:r>
      <w:r>
        <w:rPr>
          <w:i/>
          <w:color w:val="6B6459"/>
        </w:rPr>
        <w:t>XI.}</w:t>
      </w:r>
    </w:p>
    <w:p w:rsidR="007F2E02" w:rsidRDefault="00ED2C2A">
      <w:pPr>
        <w:pStyle w:val="Heading2"/>
      </w:pPr>
      <w:r>
        <w:t>7.3 Seasonality management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211"/>
        <w:gridCol w:w="3211"/>
        <w:gridCol w:w="3211"/>
      </w:tblGrid>
      <w:tr w:rsidR="007F2E02">
        <w:trPr>
          <w:cantSplit/>
          <w:tblHeader/>
          <w:jc w:val="center"/>
        </w:trPr>
        <w:tc>
          <w:tcPr>
            <w:tcW w:w="3211" w:type="dxa"/>
            <w:shd w:val="clear" w:color="auto" w:fill="1C3A2F"/>
          </w:tcPr>
          <w:p w:rsidR="007F2E02" w:rsidRDefault="00ED2C2A">
            <w:pPr>
              <w:keepNext/>
            </w:pPr>
            <w:r>
              <w:rPr>
                <w:b/>
                <w:color w:val="FAF7F2"/>
                <w:sz w:val="18"/>
              </w:rPr>
              <w:t>Strategy</w:t>
            </w:r>
          </w:p>
        </w:tc>
        <w:tc>
          <w:tcPr>
            <w:tcW w:w="3211" w:type="dxa"/>
            <w:shd w:val="clear" w:color="auto" w:fill="1C3A2F"/>
          </w:tcPr>
          <w:p w:rsidR="007F2E02" w:rsidRDefault="00ED2C2A">
            <w:pPr>
              <w:keepNext/>
              <w:jc w:val="right"/>
            </w:pPr>
            <w:r>
              <w:rPr>
                <w:b/>
                <w:color w:val="FAF7F2"/>
                <w:sz w:val="18"/>
              </w:rPr>
              <w:t>Implementation</w:t>
            </w:r>
          </w:p>
        </w:tc>
        <w:tc>
          <w:tcPr>
            <w:tcW w:w="3211" w:type="dxa"/>
            <w:shd w:val="clear" w:color="auto" w:fill="1C3A2F"/>
          </w:tcPr>
          <w:p w:rsidR="007F2E02" w:rsidRDefault="00ED2C2A">
            <w:pPr>
              <w:keepNext/>
              <w:jc w:val="right"/>
            </w:pPr>
            <w:r>
              <w:rPr>
                <w:b/>
                <w:color w:val="FAF7F2"/>
                <w:sz w:val="18"/>
              </w:rPr>
              <w:t>Expected impact</w:t>
            </w: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bl>
    <w:p w:rsidR="007F2E02" w:rsidRDefault="007F2E02">
      <w:pPr>
        <w:spacing w:after="40"/>
      </w:pPr>
    </w:p>
    <w:p w:rsidR="007F2E02" w:rsidRDefault="00ED2C2A">
      <w:pPr>
        <w:pStyle w:val="Heading2"/>
      </w:pPr>
      <w:r>
        <w:t>7.4 Industry performance benchmarks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Metric</w:t>
            </w:r>
          </w:p>
        </w:tc>
        <w:tc>
          <w:tcPr>
            <w:tcW w:w="2408" w:type="dxa"/>
            <w:shd w:val="clear" w:color="auto" w:fill="1C3A2F"/>
          </w:tcPr>
          <w:p w:rsidR="007F2E02" w:rsidRDefault="00ED2C2A">
            <w:pPr>
              <w:keepNext/>
              <w:jc w:val="right"/>
            </w:pPr>
            <w:r>
              <w:rPr>
                <w:b/>
                <w:color w:val="FAF7F2"/>
                <w:sz w:val="18"/>
              </w:rPr>
              <w:t>Industry benchmark</w:t>
            </w:r>
          </w:p>
        </w:tc>
        <w:tc>
          <w:tcPr>
            <w:tcW w:w="2408" w:type="dxa"/>
            <w:shd w:val="clear" w:color="auto" w:fill="1C3A2F"/>
          </w:tcPr>
          <w:p w:rsidR="007F2E02" w:rsidRDefault="00ED2C2A">
            <w:pPr>
              <w:keepNext/>
              <w:jc w:val="right"/>
            </w:pPr>
            <w:r>
              <w:rPr>
                <w:b/>
                <w:color w:val="FAF7F2"/>
                <w:sz w:val="18"/>
              </w:rPr>
              <w:t>{Company} target</w:t>
            </w:r>
          </w:p>
        </w:tc>
        <w:tc>
          <w:tcPr>
            <w:tcW w:w="2408" w:type="dxa"/>
            <w:shd w:val="clear" w:color="auto" w:fill="1C3A2F"/>
          </w:tcPr>
          <w:p w:rsidR="007F2E02" w:rsidRDefault="00ED2C2A">
            <w:pPr>
              <w:keepNext/>
              <w:jc w:val="right"/>
            </w:pPr>
            <w:r>
              <w:rPr>
                <w:b/>
                <w:color w:val="FAF7F2"/>
                <w:sz w:val="18"/>
              </w:rPr>
              <w:t>Status</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Cost of sales %, labour %, prime cost (the two </w:t>
      </w:r>
      <w:r>
        <w:rPr>
          <w:color w:val="6B6459"/>
          <w:sz w:val="19"/>
        </w:rPr>
        <w:t>together), gross margin, marketing %. Sources named.</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Expenses as a percentage of revenue for businesses like yours – free, by NAICS – </w:t>
            </w:r>
            <w:r>
              <w:rPr>
                <w:sz w:val="19"/>
              </w:rPr>
              <w:t xml:space="preserve">Financial Performance Data, ISED – ised-isde.canada.ca/app/scr/app/cis/performance. Cost of </w:t>
            </w:r>
            <w:r>
              <w:rPr>
                <w:sz w:val="19"/>
              </w:rPr>
              <w:t>sales, wages, rent, marketing and net profit as % of revenue for small businesses in your industry and province. The single most useful free table in Canada, and almost no self-written plan uses it</w:t>
            </w:r>
          </w:p>
          <w:p w:rsidR="007F2E02" w:rsidRDefault="00ED2C2A">
            <w:pPr>
              <w:spacing w:after="40"/>
            </w:pPr>
            <w:r>
              <w:rPr>
                <w:b/>
                <w:sz w:val="19"/>
              </w:rPr>
              <w:t xml:space="preserve">Productivity and profit benchmarks – </w:t>
            </w:r>
            <w:r>
              <w:rPr>
                <w:sz w:val="19"/>
              </w:rPr>
              <w:t>BDC's Canadian busine</w:t>
            </w:r>
            <w:r>
              <w:rPr>
                <w:sz w:val="19"/>
              </w:rPr>
              <w:t>ss productivity benchmarking tool – bdc.ca</w:t>
            </w:r>
          </w:p>
          <w:p w:rsidR="007F2E02" w:rsidRDefault="00ED2C2A">
            <w:pPr>
              <w:spacing w:after="40"/>
            </w:pPr>
            <w:r>
              <w:rPr>
                <w:b/>
                <w:sz w:val="19"/>
              </w:rPr>
              <w:t xml:space="preserve">Sector norms – </w:t>
            </w:r>
            <w:r>
              <w:rPr>
                <w:sz w:val="19"/>
              </w:rPr>
              <w:t>your industry association's operations survey (e.g. Restaurants Canada for food service)</w:t>
            </w:r>
          </w:p>
        </w:tc>
      </w:tr>
    </w:tbl>
    <w:p w:rsidR="007F2E02" w:rsidRDefault="007F2E02">
      <w:pPr>
        <w:spacing w:after="40"/>
      </w:pPr>
    </w:p>
    <w:p w:rsidR="007F2E02" w:rsidRDefault="00ED2C2A">
      <w:pPr>
        <w:pStyle w:val="Heading1"/>
      </w:pPr>
      <w:bookmarkStart w:id="10" w:name="_Toc240027435"/>
      <w:r>
        <w:lastRenderedPageBreak/>
        <w:t>Part VIII · Financial Model Methodology</w:t>
      </w:r>
      <w:bookmarkEnd w:id="10"/>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How the forecast was built and what</w:t>
            </w:r>
            <w:r>
              <w:rPr>
                <w:sz w:val="20"/>
              </w:rPr>
              <w:t xml:space="preserve"> its words mean. An analyst reads this to decide how much to trust Parts IX–XIV. Definitions set here are never redefined later: if 'overhead' means one thing in Part XI and another in Part XIV, the whole forecast is discounted.</w:t>
            </w:r>
          </w:p>
        </w:tc>
      </w:tr>
    </w:tbl>
    <w:p w:rsidR="007F2E02" w:rsidRDefault="007F2E02">
      <w:pPr>
        <w:spacing w:after="40"/>
      </w:pPr>
    </w:p>
    <w:p w:rsidR="007F2E02" w:rsidRDefault="00ED2C2A">
      <w:pPr>
        <w:pStyle w:val="Heading2"/>
      </w:pPr>
      <w:r>
        <w:t>8.1 General methodology</w:t>
      </w:r>
    </w:p>
    <w:p w:rsidR="007F2E02" w:rsidRDefault="00ED2C2A">
      <w:r>
        <w:t>T</w:t>
      </w:r>
      <w:r>
        <w:t>he financial model was developed using a bottom-up approach, constructing monthly cash-flow projections from operational drivers – price, volume, capacity, staffing and input cost – rather than from top-down growth rates. Primary data sources include: publ</w:t>
      </w:r>
      <w:r>
        <w:t>icly available pricing from comparable businesses in the {city} market; official statistics from Statistics Canada, the Bank of Canada and the IMF; taxation guidance from the Canada Revenue Agency and the {province} Ministry of Finance; industry benchmarks</w:t>
      </w:r>
      <w:r>
        <w:t xml:space="preserve"> from {sector sources}; and site-specific demographic and traffic data from {municipality / institution}.</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Only if it is true. </w:t>
            </w:r>
            <w:r>
              <w:rPr>
                <w:sz w:val="20"/>
              </w:rPr>
              <w:t>The paragraph above is true of a model built from drivers. If your forecast is a growth rate applied to a first-year number, do no</w:t>
            </w:r>
            <w:r>
              <w:rPr>
                <w:sz w:val="20"/>
              </w:rPr>
              <w:t>t write it – the analyst will see the difference by Part IX, and a methodology paragraph that the numbers contradict costs more than no paragraph.</w:t>
            </w:r>
          </w:p>
        </w:tc>
      </w:tr>
    </w:tbl>
    <w:p w:rsidR="007F2E02" w:rsidRDefault="007F2E02">
      <w:pPr>
        <w:spacing w:after="40"/>
      </w:pPr>
    </w:p>
    <w:p w:rsidR="007F2E02" w:rsidRDefault="00ED2C2A">
      <w:pPr>
        <w:pStyle w:val="Heading2"/>
      </w:pPr>
      <w:r>
        <w:t>8.2 Forecast period</w:t>
      </w:r>
    </w:p>
    <w:p w:rsidR="007F2E02" w:rsidRDefault="00ED2C2A">
      <w:r>
        <w:rPr>
          <w:i/>
          <w:color w:val="6B6459"/>
        </w:rPr>
        <w:t xml:space="preserve">{Start date} to {end date} – five fiscal years, sixty months. Five years because it </w:t>
      </w:r>
      <w:r>
        <w:rPr>
          <w:i/>
          <w:color w:val="6B6459"/>
        </w:rPr>
        <w:t>covers the term of the facility and because the business is expected to reach steady state within it. Longer if the asset financed lasts longer.}</w:t>
      </w:r>
    </w:p>
    <w:p w:rsidR="007F2E02" w:rsidRDefault="00ED2C2A">
      <w:pPr>
        <w:pStyle w:val="Heading2"/>
      </w:pPr>
      <w:r>
        <w:t>8.3 Functional currency</w:t>
      </w:r>
    </w:p>
    <w:p w:rsidR="007F2E02" w:rsidRDefault="00ED2C2A">
      <w:r>
        <w:t>All projections are denominated in Canadian dollars, the functional currency of the Co</w:t>
      </w:r>
      <w:r>
        <w:t>mpany and the currency in which substantially all revenues and expenses arise.</w:t>
      </w:r>
    </w:p>
    <w:p w:rsidR="007F2E02" w:rsidRDefault="00ED2C2A">
      <w:pPr>
        <w:pStyle w:val="Heading2"/>
      </w:pPr>
      <w:r>
        <w:t>8.4 Basis of projection</w:t>
      </w:r>
    </w:p>
    <w:p w:rsidR="007F2E02" w:rsidRDefault="00ED2C2A">
      <w:r>
        <w:t>Projections are prepared on a nominal basis. Prices, wage rates and operating costs are escalated annually using the consensus forecasts in Part IX: cons</w:t>
      </w:r>
      <w:r>
        <w:t>umer price inflation for prices and general operating costs, wage growth for labour, and sector input inflation for cost of goods sold.</w:t>
      </w:r>
    </w:p>
    <w:p w:rsidR="007F2E02" w:rsidRDefault="00ED2C2A">
      <w:pPr>
        <w:pStyle w:val="Heading2"/>
      </w:pPr>
      <w:r>
        <w:t>8.5 Income taxation</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211"/>
        <w:gridCol w:w="3211"/>
        <w:gridCol w:w="3211"/>
      </w:tblGrid>
      <w:tr w:rsidR="007F2E02">
        <w:trPr>
          <w:cantSplit/>
          <w:tblHeader/>
          <w:jc w:val="center"/>
        </w:trPr>
        <w:tc>
          <w:tcPr>
            <w:tcW w:w="3211" w:type="dxa"/>
            <w:shd w:val="clear" w:color="auto" w:fill="1C3A2F"/>
          </w:tcPr>
          <w:p w:rsidR="007F2E02" w:rsidRDefault="00ED2C2A">
            <w:pPr>
              <w:keepNext/>
            </w:pPr>
            <w:r>
              <w:rPr>
                <w:b/>
                <w:color w:val="FAF7F2"/>
                <w:sz w:val="18"/>
              </w:rPr>
              <w:t>Federal small-business rate</w:t>
            </w:r>
          </w:p>
        </w:tc>
        <w:tc>
          <w:tcPr>
            <w:tcW w:w="3211" w:type="dxa"/>
            <w:shd w:val="clear" w:color="auto" w:fill="1C3A2F"/>
          </w:tcPr>
          <w:p w:rsidR="007F2E02" w:rsidRDefault="00ED2C2A">
            <w:pPr>
              <w:keepNext/>
              <w:jc w:val="right"/>
            </w:pPr>
            <w:r>
              <w:rPr>
                <w:b/>
                <w:color w:val="FAF7F2"/>
                <w:sz w:val="18"/>
              </w:rPr>
              <w:t>Provincial small-business rate</w:t>
            </w:r>
          </w:p>
        </w:tc>
        <w:tc>
          <w:tcPr>
            <w:tcW w:w="3211" w:type="dxa"/>
            <w:shd w:val="clear" w:color="auto" w:fill="1C3A2F"/>
          </w:tcPr>
          <w:p w:rsidR="007F2E02" w:rsidRDefault="00ED2C2A">
            <w:pPr>
              <w:keepNext/>
              <w:jc w:val="right"/>
            </w:pPr>
            <w:r>
              <w:rPr>
                <w:b/>
                <w:color w:val="FAF7F2"/>
                <w:sz w:val="18"/>
              </w:rPr>
              <w:t>Combined rate applied</w:t>
            </w: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bl>
    <w:p w:rsidR="007F2E02" w:rsidRDefault="007F2E02">
      <w:pPr>
        <w:spacing w:after="40"/>
      </w:pPr>
    </w:p>
    <w:p w:rsidR="007F2E02" w:rsidRDefault="00ED2C2A">
      <w:pPr>
        <w:pStyle w:val="Heading2"/>
      </w:pPr>
      <w:r>
        <w:lastRenderedPageBreak/>
        <w:t xml:space="preserve">8.6 </w:t>
      </w:r>
      <w:r>
        <w:t>Depreciation and amortization</w:t>
      </w:r>
    </w:p>
    <w:p w:rsidR="007F2E02" w:rsidRDefault="00ED2C2A">
      <w:r>
        <w:rPr>
          <w:i/>
          <w:color w:val="6B6459"/>
        </w:rPr>
        <w:t xml:space="preserve">{Straight-line over estimated useful lives: production equipment {n} years; furniture, fixtures and technology {n} years; leasehold improvements over the shorter of useful life and the initial lease term ({n} years). Book </w:t>
      </w:r>
      <w:r>
        <w:rPr>
          <w:i/>
          <w:color w:val="6B6459"/>
        </w:rPr>
        <w:t>depreciation in the projections; capital cost allowance in the tax computation.}</w:t>
      </w:r>
    </w:p>
    <w:p w:rsidR="007F2E02" w:rsidRDefault="00ED2C2A">
      <w:pPr>
        <w:pStyle w:val="Heading2"/>
      </w:pPr>
      <w:r>
        <w:t>8.7 Working capital</w:t>
      </w:r>
    </w:p>
    <w:p w:rsidR="007F2E02" w:rsidRDefault="00ED2C2A">
      <w:r>
        <w:rPr>
          <w:i/>
          <w:color w:val="6B6459"/>
        </w:rPr>
        <w:t>{Inventory of {n} days of cost of goods sold ({reason}); accounts receivable of {n} days ({card settlement, or credit terms if business-to-business}); acco</w:t>
      </w:r>
      <w:r>
        <w:rPr>
          <w:i/>
          <w:color w:val="6B6459"/>
        </w:rPr>
        <w:t>unts payable of {n} days on standard supplier terms.}</w:t>
      </w:r>
    </w:p>
    <w:p w:rsidR="007F2E02" w:rsidRDefault="00ED2C2A">
      <w:pPr>
        <w:pStyle w:val="Heading2"/>
      </w:pPr>
      <w:r>
        <w:t>8.8 Definitions used in this plan</w:t>
      </w:r>
    </w:p>
    <w:p w:rsidR="007F2E02" w:rsidRDefault="00ED2C2A">
      <w:pPr>
        <w:pStyle w:val="ListBullet"/>
        <w:spacing w:after="60"/>
      </w:pPr>
      <w:r>
        <w:rPr>
          <w:b/>
        </w:rPr>
        <w:t xml:space="preserve">Gross profit: </w:t>
      </w:r>
      <w:r>
        <w:t>revenue less cost of goods sold. Gross margin – gross profit as a percentage of revenue.</w:t>
      </w:r>
    </w:p>
    <w:p w:rsidR="007F2E02" w:rsidRDefault="00ED2C2A">
      <w:pPr>
        <w:pStyle w:val="ListBullet"/>
        <w:spacing w:after="60"/>
      </w:pPr>
      <w:r>
        <w:rPr>
          <w:b/>
        </w:rPr>
        <w:t xml:space="preserve">Labour costs: </w:t>
      </w:r>
      <w:r>
        <w:t>wages, employer payroll taxes and workers' compensa</w:t>
      </w:r>
      <w:r>
        <w:t>tion premiums for hired staff. Owner labour is unpaid in the base case and tested separately in 14.5.1.</w:t>
      </w:r>
    </w:p>
    <w:p w:rsidR="007F2E02" w:rsidRDefault="00ED2C2A">
      <w:pPr>
        <w:pStyle w:val="ListBullet"/>
        <w:spacing w:after="60"/>
      </w:pPr>
      <w:r>
        <w:rPr>
          <w:b/>
        </w:rPr>
        <w:t xml:space="preserve">SG&amp;A (excluding labour): </w:t>
      </w:r>
      <w:r>
        <w:t>occupancy, utilities, marketing, insurance, permits, maintenance, professional fees and other operating expenses.</w:t>
      </w:r>
    </w:p>
    <w:p w:rsidR="007F2E02" w:rsidRDefault="00ED2C2A">
      <w:pPr>
        <w:pStyle w:val="ListBullet"/>
        <w:spacing w:after="60"/>
      </w:pPr>
      <w:r>
        <w:rPr>
          <w:b/>
        </w:rPr>
        <w:t xml:space="preserve">EBITDA: </w:t>
      </w:r>
      <w:r>
        <w:t>gross</w:t>
      </w:r>
      <w:r>
        <w:t xml:space="preserve"> profit less labour costs less SG&amp;A.</w:t>
      </w:r>
    </w:p>
    <w:p w:rsidR="007F2E02" w:rsidRDefault="00ED2C2A">
      <w:pPr>
        <w:pStyle w:val="ListBullet"/>
        <w:spacing w:after="60"/>
      </w:pPr>
      <w:r>
        <w:rPr>
          <w:b/>
        </w:rPr>
        <w:t xml:space="preserve">Debt service: </w:t>
      </w:r>
      <w:r>
        <w:t>scheduled principal and interest on all facilities, including interest and fees on any revolving line.</w:t>
      </w:r>
    </w:p>
    <w:p w:rsidR="007F2E02" w:rsidRDefault="00ED2C2A">
      <w:pPr>
        <w:pStyle w:val="ListBullet"/>
        <w:spacing w:after="60"/>
      </w:pPr>
      <w:r>
        <w:rPr>
          <w:b/>
        </w:rPr>
        <w:t xml:space="preserve">DSCR: </w:t>
      </w:r>
      <w:r>
        <w:t>EBITDA divided by debt service for the same period.</w:t>
      </w:r>
    </w:p>
    <w:p w:rsidR="007F2E02" w:rsidRDefault="00ED2C2A">
      <w:pPr>
        <w:pStyle w:val="ListBullet"/>
        <w:spacing w:after="60"/>
      </w:pPr>
      <w:r>
        <w:rPr>
          <w:b/>
        </w:rPr>
        <w:t xml:space="preserve">Break-even (EBITDA): </w:t>
      </w:r>
      <w:r>
        <w:t>the revenue at which EB</w:t>
      </w:r>
      <w:r>
        <w:t>ITDA equals zero. Break-even (cash) – the revenue at which EBITDA equals debt service. The second is the one a lender means.</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Corporate tax rates, federal and provincial, and the small-business limit – </w:t>
            </w:r>
            <w:r>
              <w:rPr>
                <w:sz w:val="19"/>
              </w:rPr>
              <w:t>Canada Revenue Agency – can</w:t>
            </w:r>
            <w:r>
              <w:rPr>
                <w:sz w:val="19"/>
              </w:rPr>
              <w:t>ada.ca, 'Corporation tax rates'; your provincial Ministry of Finance for the provincial rate</w:t>
            </w:r>
          </w:p>
          <w:p w:rsidR="007F2E02" w:rsidRDefault="00ED2C2A">
            <w:pPr>
              <w:spacing w:after="40"/>
            </w:pPr>
            <w:r>
              <w:rPr>
                <w:b/>
                <w:sz w:val="19"/>
              </w:rPr>
              <w:t xml:space="preserve">Capital cost allowance classes and rates – </w:t>
            </w:r>
            <w:r>
              <w:rPr>
                <w:sz w:val="19"/>
              </w:rPr>
              <w:t>Canada Revenue Agency – 'Classes of depreciable property'</w:t>
            </w:r>
          </w:p>
          <w:p w:rsidR="007F2E02" w:rsidRDefault="00ED2C2A">
            <w:pPr>
              <w:spacing w:after="40"/>
            </w:pPr>
            <w:r>
              <w:rPr>
                <w:b/>
                <w:sz w:val="19"/>
              </w:rPr>
              <w:t xml:space="preserve">Inflation basis – </w:t>
            </w:r>
            <w:r>
              <w:rPr>
                <w:sz w:val="19"/>
              </w:rPr>
              <w:t>Part IX, below</w:t>
            </w:r>
          </w:p>
        </w:tc>
      </w:tr>
    </w:tbl>
    <w:p w:rsidR="007F2E02" w:rsidRDefault="007F2E02">
      <w:pPr>
        <w:spacing w:after="40"/>
      </w:pPr>
    </w:p>
    <w:p w:rsidR="007F2E02" w:rsidRDefault="00ED2C2A">
      <w:pPr>
        <w:pStyle w:val="Heading1"/>
      </w:pPr>
      <w:bookmarkStart w:id="11" w:name="_Toc240027436"/>
      <w:r>
        <w:lastRenderedPageBreak/>
        <w:t xml:space="preserve">Part IX · Key Assumptions </w:t>
      </w:r>
      <w:r>
        <w:t>and Inputs</w:t>
      </w:r>
      <w:bookmarkEnd w:id="11"/>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The drivers under the forecast: what inflation was applied, what each revenue line is built from, how the year is shaped. Prices and costs frozen for five years are the signature of a template; the analyst looks h</w:t>
            </w:r>
            <w:r>
              <w:rPr>
                <w:sz w:val="20"/>
              </w:rPr>
              <w:t>ere first for it.</w:t>
            </w:r>
          </w:p>
        </w:tc>
      </w:tr>
    </w:tbl>
    <w:p w:rsidR="007F2E02" w:rsidRDefault="007F2E02">
      <w:pPr>
        <w:spacing w:after="40"/>
      </w:pPr>
    </w:p>
    <w:p w:rsidR="007F2E02" w:rsidRDefault="00ED2C2A">
      <w:pPr>
        <w:pStyle w:val="Heading2"/>
      </w:pPr>
      <w:r>
        <w:t>9.1 Macroeconomic assumptions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Consumer price inflation</w:t>
            </w:r>
          </w:p>
        </w:tc>
        <w:tc>
          <w:tcPr>
            <w:tcW w:w="1605" w:type="dxa"/>
            <w:shd w:val="clear" w:color="auto" w:fill="1C3A2F"/>
          </w:tcPr>
          <w:p w:rsidR="007F2E02" w:rsidRDefault="00ED2C2A">
            <w:pPr>
              <w:keepNext/>
              <w:jc w:val="right"/>
            </w:pPr>
            <w:r>
              <w:rPr>
                <w:b/>
                <w:color w:val="FAF7F2"/>
                <w:sz w:val="18"/>
              </w:rPr>
              <w:t>Year 1</w:t>
            </w:r>
          </w:p>
        </w:tc>
        <w:tc>
          <w:tcPr>
            <w:tcW w:w="1605" w:type="dxa"/>
            <w:shd w:val="clear" w:color="auto" w:fill="1C3A2F"/>
          </w:tcPr>
          <w:p w:rsidR="007F2E02" w:rsidRDefault="00ED2C2A">
            <w:pPr>
              <w:keepNext/>
              <w:jc w:val="right"/>
            </w:pPr>
            <w:r>
              <w:rPr>
                <w:b/>
                <w:color w:val="FAF7F2"/>
                <w:sz w:val="18"/>
              </w:rPr>
              <w:t>Year 2</w:t>
            </w:r>
          </w:p>
        </w:tc>
        <w:tc>
          <w:tcPr>
            <w:tcW w:w="1605" w:type="dxa"/>
            <w:shd w:val="clear" w:color="auto" w:fill="1C3A2F"/>
          </w:tcPr>
          <w:p w:rsidR="007F2E02" w:rsidRDefault="00ED2C2A">
            <w:pPr>
              <w:keepNext/>
              <w:jc w:val="right"/>
            </w:pPr>
            <w:r>
              <w:rPr>
                <w:b/>
                <w:color w:val="FAF7F2"/>
                <w:sz w:val="18"/>
              </w:rPr>
              <w:t>Year 3</w:t>
            </w:r>
          </w:p>
        </w:tc>
        <w:tc>
          <w:tcPr>
            <w:tcW w:w="1605" w:type="dxa"/>
            <w:shd w:val="clear" w:color="auto" w:fill="1C3A2F"/>
          </w:tcPr>
          <w:p w:rsidR="007F2E02" w:rsidRDefault="00ED2C2A">
            <w:pPr>
              <w:keepNext/>
              <w:jc w:val="right"/>
            </w:pPr>
            <w:r>
              <w:rPr>
                <w:b/>
                <w:color w:val="FAF7F2"/>
                <w:sz w:val="18"/>
              </w:rPr>
              <w:t>Year 4</w:t>
            </w:r>
          </w:p>
        </w:tc>
        <w:tc>
          <w:tcPr>
            <w:tcW w:w="1605" w:type="dxa"/>
            <w:shd w:val="clear" w:color="auto" w:fill="1C3A2F"/>
          </w:tcPr>
          <w:p w:rsidR="007F2E02" w:rsidRDefault="00ED2C2A">
            <w:pPr>
              <w:keepNext/>
              <w:jc w:val="right"/>
            </w:pPr>
            <w:r>
              <w:rPr>
                <w:b/>
                <w:color w:val="FAF7F2"/>
                <w:sz w:val="18"/>
              </w:rPr>
              <w:t>Year 5</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p w:rsidR="007F2E02" w:rsidRDefault="00ED2C2A">
      <w:r>
        <w:rPr>
          <w:color w:val="6B6459"/>
          <w:sz w:val="19"/>
        </w:rPr>
        <w:t>Rows: Bank of Canada · IMF · OECD · a major bank's economics department · consensus (the row used).</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 xml:space="preserve">Wage </w:t>
            </w:r>
            <w:r>
              <w:rPr>
                <w:b/>
                <w:color w:val="FAF7F2"/>
                <w:sz w:val="18"/>
              </w:rPr>
              <w:t>growth</w:t>
            </w:r>
          </w:p>
        </w:tc>
        <w:tc>
          <w:tcPr>
            <w:tcW w:w="1605" w:type="dxa"/>
            <w:shd w:val="clear" w:color="auto" w:fill="1C3A2F"/>
          </w:tcPr>
          <w:p w:rsidR="007F2E02" w:rsidRDefault="00ED2C2A">
            <w:pPr>
              <w:keepNext/>
              <w:jc w:val="right"/>
            </w:pPr>
            <w:r>
              <w:rPr>
                <w:b/>
                <w:color w:val="FAF7F2"/>
                <w:sz w:val="18"/>
              </w:rPr>
              <w:t>Year 1</w:t>
            </w:r>
          </w:p>
        </w:tc>
        <w:tc>
          <w:tcPr>
            <w:tcW w:w="1605" w:type="dxa"/>
            <w:shd w:val="clear" w:color="auto" w:fill="1C3A2F"/>
          </w:tcPr>
          <w:p w:rsidR="007F2E02" w:rsidRDefault="00ED2C2A">
            <w:pPr>
              <w:keepNext/>
              <w:jc w:val="right"/>
            </w:pPr>
            <w:r>
              <w:rPr>
                <w:b/>
                <w:color w:val="FAF7F2"/>
                <w:sz w:val="18"/>
              </w:rPr>
              <w:t>Year 2</w:t>
            </w:r>
          </w:p>
        </w:tc>
        <w:tc>
          <w:tcPr>
            <w:tcW w:w="1605" w:type="dxa"/>
            <w:shd w:val="clear" w:color="auto" w:fill="1C3A2F"/>
          </w:tcPr>
          <w:p w:rsidR="007F2E02" w:rsidRDefault="00ED2C2A">
            <w:pPr>
              <w:keepNext/>
              <w:jc w:val="right"/>
            </w:pPr>
            <w:r>
              <w:rPr>
                <w:b/>
                <w:color w:val="FAF7F2"/>
                <w:sz w:val="18"/>
              </w:rPr>
              <w:t>Year 3</w:t>
            </w:r>
          </w:p>
        </w:tc>
        <w:tc>
          <w:tcPr>
            <w:tcW w:w="1605" w:type="dxa"/>
            <w:shd w:val="clear" w:color="auto" w:fill="1C3A2F"/>
          </w:tcPr>
          <w:p w:rsidR="007F2E02" w:rsidRDefault="00ED2C2A">
            <w:pPr>
              <w:keepNext/>
              <w:jc w:val="right"/>
            </w:pPr>
            <w:r>
              <w:rPr>
                <w:b/>
                <w:color w:val="FAF7F2"/>
                <w:sz w:val="18"/>
              </w:rPr>
              <w:t>Year 4</w:t>
            </w:r>
          </w:p>
        </w:tc>
        <w:tc>
          <w:tcPr>
            <w:tcW w:w="1605" w:type="dxa"/>
            <w:shd w:val="clear" w:color="auto" w:fill="1C3A2F"/>
          </w:tcPr>
          <w:p w:rsidR="007F2E02" w:rsidRDefault="00ED2C2A">
            <w:pPr>
              <w:keepNext/>
              <w:jc w:val="right"/>
            </w:pPr>
            <w:r>
              <w:rPr>
                <w:b/>
                <w:color w:val="FAF7F2"/>
                <w:sz w:val="18"/>
              </w:rPr>
              <w:t>Year 5</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Input-cost inflation</w:t>
            </w:r>
          </w:p>
        </w:tc>
        <w:tc>
          <w:tcPr>
            <w:tcW w:w="1605" w:type="dxa"/>
            <w:shd w:val="clear" w:color="auto" w:fill="1C3A2F"/>
          </w:tcPr>
          <w:p w:rsidR="007F2E02" w:rsidRDefault="00ED2C2A">
            <w:pPr>
              <w:keepNext/>
              <w:jc w:val="right"/>
            </w:pPr>
            <w:r>
              <w:rPr>
                <w:b/>
                <w:color w:val="FAF7F2"/>
                <w:sz w:val="18"/>
              </w:rPr>
              <w:t>Year 1</w:t>
            </w:r>
          </w:p>
        </w:tc>
        <w:tc>
          <w:tcPr>
            <w:tcW w:w="1605" w:type="dxa"/>
            <w:shd w:val="clear" w:color="auto" w:fill="1C3A2F"/>
          </w:tcPr>
          <w:p w:rsidR="007F2E02" w:rsidRDefault="00ED2C2A">
            <w:pPr>
              <w:keepNext/>
              <w:jc w:val="right"/>
            </w:pPr>
            <w:r>
              <w:rPr>
                <w:b/>
                <w:color w:val="FAF7F2"/>
                <w:sz w:val="18"/>
              </w:rPr>
              <w:t>Year 2</w:t>
            </w:r>
          </w:p>
        </w:tc>
        <w:tc>
          <w:tcPr>
            <w:tcW w:w="1605" w:type="dxa"/>
            <w:shd w:val="clear" w:color="auto" w:fill="1C3A2F"/>
          </w:tcPr>
          <w:p w:rsidR="007F2E02" w:rsidRDefault="00ED2C2A">
            <w:pPr>
              <w:keepNext/>
              <w:jc w:val="right"/>
            </w:pPr>
            <w:r>
              <w:rPr>
                <w:b/>
                <w:color w:val="FAF7F2"/>
                <w:sz w:val="18"/>
              </w:rPr>
              <w:t>Year 3</w:t>
            </w:r>
          </w:p>
        </w:tc>
        <w:tc>
          <w:tcPr>
            <w:tcW w:w="1605" w:type="dxa"/>
            <w:shd w:val="clear" w:color="auto" w:fill="1C3A2F"/>
          </w:tcPr>
          <w:p w:rsidR="007F2E02" w:rsidRDefault="00ED2C2A">
            <w:pPr>
              <w:keepNext/>
              <w:jc w:val="right"/>
            </w:pPr>
            <w:r>
              <w:rPr>
                <w:b/>
                <w:color w:val="FAF7F2"/>
                <w:sz w:val="18"/>
              </w:rPr>
              <w:t>Year 4</w:t>
            </w:r>
          </w:p>
        </w:tc>
        <w:tc>
          <w:tcPr>
            <w:tcW w:w="1605" w:type="dxa"/>
            <w:shd w:val="clear" w:color="auto" w:fill="1C3A2F"/>
          </w:tcPr>
          <w:p w:rsidR="007F2E02" w:rsidRDefault="00ED2C2A">
            <w:pPr>
              <w:keepNext/>
              <w:jc w:val="right"/>
            </w:pPr>
            <w:r>
              <w:rPr>
                <w:b/>
                <w:color w:val="FAF7F2"/>
                <w:sz w:val="18"/>
              </w:rPr>
              <w:t>Year 5</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p w:rsidR="007F2E02" w:rsidRDefault="00ED2C2A">
      <w:pPr>
        <w:pStyle w:val="Heading2"/>
      </w:pPr>
      <w:r>
        <w:t>9.2 Revenue assumptions</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Structure. </w:t>
            </w:r>
            <w:r>
              <w:rPr>
                <w:sz w:val="20"/>
              </w:rPr>
              <w:t xml:space="preserve">One subsection per revenue line: driver → price → volume → seasonality → resulting </w:t>
            </w:r>
            <w:r>
              <w:rPr>
                <w:sz w:val="20"/>
              </w:rPr>
              <w:t>Year-1 revenue. Ancillary lines start in the year the forecast starts them.</w:t>
            </w:r>
          </w:p>
        </w:tc>
      </w:tr>
    </w:tbl>
    <w:p w:rsidR="007F2E02" w:rsidRDefault="007F2E02">
      <w:pPr>
        <w:spacing w:after="40"/>
      </w:pPr>
    </w:p>
    <w:p w:rsidR="007F2E02" w:rsidRDefault="00ED2C2A">
      <w:pPr>
        <w:pStyle w:val="Heading3"/>
      </w:pPr>
      <w:r>
        <w:t>9.2.1 {Core line 1}</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402"/>
        <w:gridCol w:w="1701"/>
        <w:gridCol w:w="3685"/>
      </w:tblGrid>
      <w:tr w:rsidR="007F2E02">
        <w:trPr>
          <w:cantSplit/>
          <w:tblHeader/>
          <w:jc w:val="center"/>
        </w:trPr>
        <w:tc>
          <w:tcPr>
            <w:tcW w:w="3402" w:type="dxa"/>
            <w:shd w:val="clear" w:color="auto" w:fill="1C3A2F"/>
          </w:tcPr>
          <w:p w:rsidR="007F2E02" w:rsidRDefault="00ED2C2A">
            <w:pPr>
              <w:keepNext/>
            </w:pPr>
            <w:r>
              <w:rPr>
                <w:b/>
                <w:color w:val="FAF7F2"/>
                <w:sz w:val="18"/>
              </w:rPr>
              <w:t>Driver</w:t>
            </w:r>
          </w:p>
        </w:tc>
        <w:tc>
          <w:tcPr>
            <w:tcW w:w="1701" w:type="dxa"/>
            <w:shd w:val="clear" w:color="auto" w:fill="1C3A2F"/>
          </w:tcPr>
          <w:p w:rsidR="007F2E02" w:rsidRDefault="00ED2C2A">
            <w:pPr>
              <w:keepNext/>
              <w:jc w:val="right"/>
            </w:pPr>
            <w:r>
              <w:rPr>
                <w:b/>
                <w:color w:val="FAF7F2"/>
                <w:sz w:val="18"/>
              </w:rPr>
              <w:t>Value</w:t>
            </w:r>
          </w:p>
        </w:tc>
        <w:tc>
          <w:tcPr>
            <w:tcW w:w="3685" w:type="dxa"/>
            <w:shd w:val="clear" w:color="auto" w:fill="1C3A2F"/>
          </w:tcPr>
          <w:p w:rsidR="007F2E02" w:rsidRDefault="00ED2C2A">
            <w:pPr>
              <w:keepNext/>
              <w:jc w:val="right"/>
            </w:pPr>
            <w:r>
              <w:rPr>
                <w:b/>
                <w:color w:val="FAF7F2"/>
                <w:sz w:val="18"/>
              </w:rPr>
              <w:t>Basis</w:t>
            </w:r>
          </w:p>
        </w:tc>
      </w:tr>
      <w:tr w:rsidR="007F2E02">
        <w:trPr>
          <w:jc w:val="center"/>
        </w:trPr>
        <w:tc>
          <w:tcPr>
            <w:tcW w:w="3402" w:type="dxa"/>
          </w:tcPr>
          <w:p w:rsidR="007F2E02" w:rsidRDefault="007F2E02">
            <w:pPr>
              <w:spacing w:after="0"/>
            </w:pPr>
          </w:p>
        </w:tc>
        <w:tc>
          <w:tcPr>
            <w:tcW w:w="1701" w:type="dxa"/>
          </w:tcPr>
          <w:p w:rsidR="007F2E02" w:rsidRDefault="007F2E02">
            <w:pPr>
              <w:spacing w:after="0"/>
              <w:jc w:val="right"/>
            </w:pPr>
          </w:p>
        </w:tc>
        <w:tc>
          <w:tcPr>
            <w:tcW w:w="3685"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701" w:type="dxa"/>
          </w:tcPr>
          <w:p w:rsidR="007F2E02" w:rsidRDefault="007F2E02">
            <w:pPr>
              <w:spacing w:after="0"/>
              <w:jc w:val="right"/>
            </w:pPr>
          </w:p>
        </w:tc>
        <w:tc>
          <w:tcPr>
            <w:tcW w:w="3685"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701" w:type="dxa"/>
          </w:tcPr>
          <w:p w:rsidR="007F2E02" w:rsidRDefault="007F2E02">
            <w:pPr>
              <w:spacing w:after="0"/>
              <w:jc w:val="right"/>
            </w:pPr>
          </w:p>
        </w:tc>
        <w:tc>
          <w:tcPr>
            <w:tcW w:w="3685"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701" w:type="dxa"/>
          </w:tcPr>
          <w:p w:rsidR="007F2E02" w:rsidRDefault="007F2E02">
            <w:pPr>
              <w:spacing w:after="0"/>
              <w:jc w:val="right"/>
            </w:pPr>
          </w:p>
        </w:tc>
        <w:tc>
          <w:tcPr>
            <w:tcW w:w="3685" w:type="dxa"/>
          </w:tcPr>
          <w:p w:rsidR="007F2E02" w:rsidRDefault="007F2E02">
            <w:pPr>
              <w:spacing w:after="0"/>
              <w:jc w:val="right"/>
            </w:pPr>
          </w:p>
        </w:tc>
      </w:tr>
      <w:tr w:rsidR="007F2E02">
        <w:trPr>
          <w:jc w:val="center"/>
        </w:trPr>
        <w:tc>
          <w:tcPr>
            <w:tcW w:w="3402" w:type="dxa"/>
          </w:tcPr>
          <w:p w:rsidR="007F2E02" w:rsidRDefault="007F2E02">
            <w:pPr>
              <w:spacing w:after="0"/>
            </w:pPr>
          </w:p>
        </w:tc>
        <w:tc>
          <w:tcPr>
            <w:tcW w:w="1701" w:type="dxa"/>
          </w:tcPr>
          <w:p w:rsidR="007F2E02" w:rsidRDefault="007F2E02">
            <w:pPr>
              <w:spacing w:after="0"/>
              <w:jc w:val="right"/>
            </w:pPr>
          </w:p>
        </w:tc>
        <w:tc>
          <w:tcPr>
            <w:tcW w:w="3685"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Average units per transaction · price points · attach rates · blended average transaction value · transactions per </w:t>
      </w:r>
      <w:r>
        <w:rPr>
          <w:color w:val="6B6459"/>
          <w:sz w:val="19"/>
        </w:rPr>
        <w:t>hour at capacity · utilisation by season.</w:t>
      </w:r>
    </w:p>
    <w:p w:rsidR="007F2E02" w:rsidRDefault="00ED2C2A">
      <w:pPr>
        <w:pStyle w:val="Heading3"/>
      </w:pPr>
      <w:r>
        <w:t>9.2.2 {Core line 2}</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211"/>
        <w:gridCol w:w="3211"/>
        <w:gridCol w:w="3211"/>
      </w:tblGrid>
      <w:tr w:rsidR="007F2E02">
        <w:trPr>
          <w:cantSplit/>
          <w:tblHeader/>
          <w:jc w:val="center"/>
        </w:trPr>
        <w:tc>
          <w:tcPr>
            <w:tcW w:w="3211" w:type="dxa"/>
            <w:shd w:val="clear" w:color="auto" w:fill="1C3A2F"/>
          </w:tcPr>
          <w:p w:rsidR="007F2E02" w:rsidRDefault="00ED2C2A">
            <w:pPr>
              <w:keepNext/>
            </w:pPr>
            <w:r>
              <w:rPr>
                <w:b/>
                <w:color w:val="FAF7F2"/>
                <w:sz w:val="18"/>
              </w:rPr>
              <w:t>Unit</w:t>
            </w:r>
          </w:p>
        </w:tc>
        <w:tc>
          <w:tcPr>
            <w:tcW w:w="3211" w:type="dxa"/>
            <w:shd w:val="clear" w:color="auto" w:fill="1C3A2F"/>
          </w:tcPr>
          <w:p w:rsidR="007F2E02" w:rsidRDefault="00ED2C2A">
            <w:pPr>
              <w:keepNext/>
              <w:jc w:val="right"/>
            </w:pPr>
            <w:r>
              <w:rPr>
                <w:b/>
                <w:color w:val="FAF7F2"/>
                <w:sz w:val="18"/>
              </w:rPr>
              <w:t>Price</w:t>
            </w:r>
          </w:p>
        </w:tc>
        <w:tc>
          <w:tcPr>
            <w:tcW w:w="3211" w:type="dxa"/>
            <w:shd w:val="clear" w:color="auto" w:fill="1C3A2F"/>
          </w:tcPr>
          <w:p w:rsidR="007F2E02" w:rsidRDefault="00ED2C2A">
            <w:pPr>
              <w:keepNext/>
              <w:jc w:val="right"/>
            </w:pPr>
            <w:r>
              <w:rPr>
                <w:b/>
                <w:color w:val="FAF7F2"/>
                <w:sz w:val="18"/>
              </w:rPr>
              <w:t>Volume driver</w:t>
            </w: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r w:rsidR="007F2E02">
        <w:trPr>
          <w:jc w:val="center"/>
        </w:trPr>
        <w:tc>
          <w:tcPr>
            <w:tcW w:w="3211" w:type="dxa"/>
          </w:tcPr>
          <w:p w:rsidR="007F2E02" w:rsidRDefault="007F2E02">
            <w:pPr>
              <w:spacing w:after="0"/>
            </w:pPr>
          </w:p>
        </w:tc>
        <w:tc>
          <w:tcPr>
            <w:tcW w:w="3211" w:type="dxa"/>
          </w:tcPr>
          <w:p w:rsidR="007F2E02" w:rsidRDefault="007F2E02">
            <w:pPr>
              <w:spacing w:after="0"/>
              <w:jc w:val="right"/>
            </w:pPr>
          </w:p>
        </w:tc>
        <w:tc>
          <w:tcPr>
            <w:tcW w:w="3211" w:type="dxa"/>
          </w:tcPr>
          <w:p w:rsidR="007F2E02" w:rsidRDefault="007F2E02">
            <w:pPr>
              <w:spacing w:after="0"/>
              <w:jc w:val="right"/>
            </w:pPr>
          </w:p>
        </w:tc>
      </w:tr>
    </w:tbl>
    <w:p w:rsidR="007F2E02" w:rsidRDefault="007F2E02">
      <w:pPr>
        <w:spacing w:after="40"/>
      </w:pPr>
    </w:p>
    <w:p w:rsidR="007F2E02" w:rsidRDefault="00ED2C2A">
      <w:pPr>
        <w:pStyle w:val="Heading3"/>
      </w:pPr>
      <w:r>
        <w:t>9.2.3 Ancillary revenue (Year {n} onward)</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Line</w:t>
            </w:r>
          </w:p>
        </w:tc>
        <w:tc>
          <w:tcPr>
            <w:tcW w:w="1926" w:type="dxa"/>
            <w:shd w:val="clear" w:color="auto" w:fill="1C3A2F"/>
          </w:tcPr>
          <w:p w:rsidR="007F2E02" w:rsidRDefault="00ED2C2A">
            <w:pPr>
              <w:keepNext/>
              <w:jc w:val="right"/>
            </w:pPr>
            <w:r>
              <w:rPr>
                <w:b/>
                <w:color w:val="FAF7F2"/>
                <w:sz w:val="18"/>
              </w:rPr>
              <w:t>Products / services</w:t>
            </w:r>
          </w:p>
        </w:tc>
        <w:tc>
          <w:tcPr>
            <w:tcW w:w="1926" w:type="dxa"/>
            <w:shd w:val="clear" w:color="auto" w:fill="1C3A2F"/>
          </w:tcPr>
          <w:p w:rsidR="007F2E02" w:rsidRDefault="00ED2C2A">
            <w:pPr>
              <w:keepNext/>
              <w:jc w:val="right"/>
            </w:pPr>
            <w:r>
              <w:rPr>
                <w:b/>
                <w:color w:val="FAF7F2"/>
                <w:sz w:val="18"/>
              </w:rPr>
              <w:t>Pricing basis</w:t>
            </w:r>
          </w:p>
        </w:tc>
        <w:tc>
          <w:tcPr>
            <w:tcW w:w="1926" w:type="dxa"/>
            <w:shd w:val="clear" w:color="auto" w:fill="1C3A2F"/>
          </w:tcPr>
          <w:p w:rsidR="007F2E02" w:rsidRDefault="00ED2C2A">
            <w:pPr>
              <w:keepNext/>
              <w:jc w:val="right"/>
            </w:pPr>
            <w:r>
              <w:rPr>
                <w:b/>
                <w:color w:val="FAF7F2"/>
                <w:sz w:val="18"/>
              </w:rPr>
              <w:t>Estimated revenue per year</w:t>
            </w:r>
          </w:p>
        </w:tc>
        <w:tc>
          <w:tcPr>
            <w:tcW w:w="1926" w:type="dxa"/>
            <w:shd w:val="clear" w:color="auto" w:fill="1C3A2F"/>
          </w:tcPr>
          <w:p w:rsidR="007F2E02" w:rsidRDefault="00ED2C2A">
            <w:pPr>
              <w:keepNext/>
              <w:jc w:val="right"/>
            </w:pPr>
            <w:r>
              <w:rPr>
                <w:b/>
                <w:color w:val="FAF7F2"/>
                <w:sz w:val="18"/>
              </w:rPr>
              <w:t>Start year</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pPr>
        <w:pStyle w:val="Heading2"/>
      </w:pPr>
      <w:r>
        <w:t>9.3 Seasonality</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Month</w:t>
            </w:r>
          </w:p>
        </w:tc>
        <w:tc>
          <w:tcPr>
            <w:tcW w:w="1926" w:type="dxa"/>
            <w:shd w:val="clear" w:color="auto" w:fill="1C3A2F"/>
          </w:tcPr>
          <w:p w:rsidR="007F2E02" w:rsidRDefault="00ED2C2A">
            <w:pPr>
              <w:keepNext/>
              <w:jc w:val="right"/>
            </w:pPr>
            <w:r>
              <w:rPr>
                <w:b/>
                <w:color w:val="FAF7F2"/>
                <w:sz w:val="18"/>
              </w:rPr>
              <w:t>Season class</w:t>
            </w:r>
          </w:p>
        </w:tc>
        <w:tc>
          <w:tcPr>
            <w:tcW w:w="1926" w:type="dxa"/>
            <w:shd w:val="clear" w:color="auto" w:fill="1C3A2F"/>
          </w:tcPr>
          <w:p w:rsidR="007F2E02" w:rsidRDefault="00ED2C2A">
            <w:pPr>
              <w:keepNext/>
              <w:jc w:val="right"/>
            </w:pPr>
            <w:r>
              <w:rPr>
                <w:b/>
                <w:color w:val="FAF7F2"/>
                <w:sz w:val="18"/>
              </w:rPr>
              <w:t>Operating hours</w:t>
            </w:r>
          </w:p>
        </w:tc>
        <w:tc>
          <w:tcPr>
            <w:tcW w:w="1926" w:type="dxa"/>
            <w:shd w:val="clear" w:color="auto" w:fill="1C3A2F"/>
          </w:tcPr>
          <w:p w:rsidR="007F2E02" w:rsidRDefault="00ED2C2A">
            <w:pPr>
              <w:keepNext/>
              <w:jc w:val="right"/>
            </w:pPr>
            <w:r>
              <w:rPr>
                <w:b/>
                <w:color w:val="FAF7F2"/>
                <w:sz w:val="18"/>
              </w:rPr>
              <w:t>Staff per shift</w:t>
            </w:r>
          </w:p>
        </w:tc>
        <w:tc>
          <w:tcPr>
            <w:tcW w:w="1926" w:type="dxa"/>
            <w:shd w:val="clear" w:color="auto" w:fill="1C3A2F"/>
          </w:tcPr>
          <w:p w:rsidR="007F2E02" w:rsidRDefault="00ED2C2A">
            <w:pPr>
              <w:keepNext/>
              <w:jc w:val="right"/>
            </w:pPr>
            <w:r>
              <w:rPr>
                <w:b/>
                <w:color w:val="FAF7F2"/>
                <w:sz w:val="18"/>
              </w:rPr>
              <w:t>Utilisation range</w:t>
            </w:r>
          </w:p>
        </w:tc>
      </w:tr>
      <w:tr w:rsidR="007F2E02">
        <w:trPr>
          <w:jc w:val="center"/>
        </w:trPr>
        <w:tc>
          <w:tcPr>
            <w:tcW w:w="1926" w:type="dxa"/>
          </w:tcPr>
          <w:p w:rsidR="007F2E02" w:rsidRDefault="00ED2C2A">
            <w:pPr>
              <w:spacing w:after="0"/>
            </w:pPr>
            <w:r>
              <w:rPr>
                <w:sz w:val="18"/>
              </w:rPr>
              <w:t>January</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February</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March</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April</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May</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June</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July</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August</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September</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October</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lastRenderedPageBreak/>
              <w:t>November</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December</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Consumer price inflation forecast – </w:t>
            </w:r>
            <w:r>
              <w:rPr>
                <w:sz w:val="19"/>
              </w:rPr>
              <w:t xml:space="preserve">Bank of Canada Monetary Policy Report – bankofcanada.ca/publications/mpr (quarterly, with a two-year projection); IMF World Economic Outlook, Canada – imf.org; OECD Economic Outlook – oecd.org; any major Canadian bank's </w:t>
            </w:r>
            <w:r>
              <w:rPr>
                <w:sz w:val="19"/>
              </w:rPr>
              <w:t>economics forecast page (RBC, TD, BMO, Scotiabank, CIBC publish them free)</w:t>
            </w:r>
          </w:p>
          <w:p w:rsidR="007F2E02" w:rsidRDefault="00ED2C2A">
            <w:pPr>
              <w:spacing w:after="40"/>
            </w:pPr>
            <w:r>
              <w:rPr>
                <w:b/>
                <w:sz w:val="19"/>
              </w:rPr>
              <w:t xml:space="preserve">Wage rates by occupation and region – </w:t>
            </w:r>
            <w:r>
              <w:rPr>
                <w:sz w:val="19"/>
              </w:rPr>
              <w:t>Job Bank wage reports – jobbank.gc.ca, 'Explore wages'. Low, median and high wage by occupation and economic region; the most defensible source</w:t>
            </w:r>
            <w:r>
              <w:rPr>
                <w:sz w:val="19"/>
              </w:rPr>
              <w:t xml:space="preserve"> for a hiring schedule</w:t>
            </w:r>
          </w:p>
          <w:p w:rsidR="007F2E02" w:rsidRDefault="00ED2C2A">
            <w:pPr>
              <w:spacing w:after="40"/>
            </w:pPr>
            <w:r>
              <w:rPr>
                <w:b/>
                <w:sz w:val="19"/>
              </w:rPr>
              <w:t xml:space="preserve">Minimum wage and announced increases – </w:t>
            </w:r>
            <w:r>
              <w:rPr>
                <w:sz w:val="19"/>
              </w:rPr>
              <w:t>your province's Employment Standards page</w:t>
            </w:r>
          </w:p>
          <w:p w:rsidR="007F2E02" w:rsidRDefault="00ED2C2A">
            <w:pPr>
              <w:spacing w:after="40"/>
            </w:pPr>
            <w:r>
              <w:rPr>
                <w:b/>
                <w:sz w:val="19"/>
              </w:rPr>
              <w:t xml:space="preserve">Food and input inflation – </w:t>
            </w:r>
            <w:r>
              <w:rPr>
                <w:sz w:val="19"/>
              </w:rPr>
              <w:t xml:space="preserve">Statistics Canada Consumer Price Index, food component – statcan.gc.ca; Canada's Food Price Report (Dalhousie University and </w:t>
            </w:r>
            <w:r>
              <w:rPr>
                <w:sz w:val="19"/>
              </w:rPr>
              <w:t>partners, annual) for the year ahead</w:t>
            </w:r>
          </w:p>
          <w:p w:rsidR="007F2E02" w:rsidRDefault="00ED2C2A">
            <w:pPr>
              <w:spacing w:after="40"/>
            </w:pPr>
            <w:r>
              <w:rPr>
                <w:b/>
                <w:sz w:val="19"/>
              </w:rPr>
              <w:t xml:space="preserve">Your prices – </w:t>
            </w:r>
            <w:r>
              <w:rPr>
                <w:sz w:val="19"/>
              </w:rPr>
              <w:t>Part III – the comparables you checked, with the date</w:t>
            </w:r>
          </w:p>
          <w:p w:rsidR="007F2E02" w:rsidRDefault="00ED2C2A">
            <w:pPr>
              <w:spacing w:after="40"/>
            </w:pPr>
            <w:r>
              <w:rPr>
                <w:b/>
                <w:sz w:val="19"/>
              </w:rPr>
              <w:t xml:space="preserve">Seasonality – </w:t>
            </w:r>
            <w:r>
              <w:rPr>
                <w:sz w:val="19"/>
              </w:rPr>
              <w:t>your own trading history if you have it; otherwise your industry association's seasonal index, and the local tourism or academic calendar</w:t>
            </w:r>
            <w:r>
              <w:rPr>
                <w:sz w:val="19"/>
              </w:rPr>
              <w:t xml:space="preserve"> that drives it</w:t>
            </w:r>
          </w:p>
        </w:tc>
      </w:tr>
    </w:tbl>
    <w:p w:rsidR="007F2E02" w:rsidRDefault="007F2E02">
      <w:pPr>
        <w:spacing w:after="40"/>
      </w:pPr>
    </w:p>
    <w:p w:rsidR="007F2E02" w:rsidRDefault="00ED2C2A">
      <w:pPr>
        <w:pStyle w:val="Heading1"/>
      </w:pPr>
      <w:bookmarkStart w:id="12" w:name="_Toc240027437"/>
      <w:r>
        <w:lastRenderedPageBreak/>
        <w:t>Part X · Cost of Goods Sold and Unit Economics</w:t>
      </w:r>
      <w:bookmarkEnd w:id="12"/>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What it costs to make or deliver one unit, built from input prices up. This is the chain that separates a bottom-up forecast from a percentage: an analyst who </w:t>
            </w:r>
            <w:r>
              <w:rPr>
                <w:sz w:val="20"/>
              </w:rPr>
              <w:t>sees 'COGS 30%' with nothing under it knows the number was chosen, not calculated.</w:t>
            </w:r>
          </w:p>
        </w:tc>
      </w:tr>
    </w:tbl>
    <w:p w:rsidR="007F2E02" w:rsidRDefault="007F2E02">
      <w:pPr>
        <w:spacing w:after="40"/>
      </w:pPr>
    </w:p>
    <w:p w:rsidR="007F2E02" w:rsidRDefault="00ED2C2A">
      <w:pPr>
        <w:pStyle w:val="Heading2"/>
      </w:pPr>
      <w:r>
        <w:t>10.1 COGS overview and blended margin</w:t>
      </w:r>
    </w:p>
    <w:p w:rsidR="007F2E02" w:rsidRDefault="00ED2C2A">
      <w:r>
        <w:rPr>
          <w:i/>
          <w:color w:val="6B6459"/>
        </w:rPr>
        <w:t xml:space="preserve">{The projected blended cost of goods sold for Year 1 is {%} of revenue, a gross margin of {%}, consistent with the benchmark range </w:t>
      </w:r>
      <w:r>
        <w:rPr>
          <w:i/>
          <w:color w:val="6B6459"/>
        </w:rPr>
        <w:t>for {sector} ({range}, source).}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Revenue line</w:t>
            </w:r>
          </w:p>
        </w:tc>
        <w:tc>
          <w:tcPr>
            <w:tcW w:w="1926" w:type="dxa"/>
            <w:shd w:val="clear" w:color="auto" w:fill="1C3A2F"/>
          </w:tcPr>
          <w:p w:rsidR="007F2E02" w:rsidRDefault="00ED2C2A">
            <w:pPr>
              <w:keepNext/>
              <w:jc w:val="right"/>
            </w:pPr>
            <w:r>
              <w:rPr>
                <w:b/>
                <w:color w:val="FAF7F2"/>
                <w:sz w:val="18"/>
              </w:rPr>
              <w:t>COGS %</w:t>
            </w:r>
          </w:p>
        </w:tc>
        <w:tc>
          <w:tcPr>
            <w:tcW w:w="1926" w:type="dxa"/>
            <w:shd w:val="clear" w:color="auto" w:fill="1C3A2F"/>
          </w:tcPr>
          <w:p w:rsidR="007F2E02" w:rsidRDefault="00ED2C2A">
            <w:pPr>
              <w:keepNext/>
              <w:jc w:val="right"/>
            </w:pPr>
            <w:r>
              <w:rPr>
                <w:b/>
                <w:color w:val="FAF7F2"/>
                <w:sz w:val="18"/>
              </w:rPr>
              <w:t>Gross margin</w:t>
            </w:r>
          </w:p>
        </w:tc>
        <w:tc>
          <w:tcPr>
            <w:tcW w:w="1926" w:type="dxa"/>
            <w:shd w:val="clear" w:color="auto" w:fill="1C3A2F"/>
          </w:tcPr>
          <w:p w:rsidR="007F2E02" w:rsidRDefault="00ED2C2A">
            <w:pPr>
              <w:keepNext/>
              <w:jc w:val="right"/>
            </w:pPr>
            <w:r>
              <w:rPr>
                <w:b/>
                <w:color w:val="FAF7F2"/>
                <w:sz w:val="18"/>
              </w:rPr>
              <w:t>Revenue mix (steady state)</w:t>
            </w:r>
          </w:p>
        </w:tc>
        <w:tc>
          <w:tcPr>
            <w:tcW w:w="1926" w:type="dxa"/>
            <w:shd w:val="clear" w:color="auto" w:fill="1C3A2F"/>
          </w:tcPr>
          <w:p w:rsidR="007F2E02" w:rsidRDefault="00ED2C2A">
            <w:pPr>
              <w:keepNext/>
              <w:jc w:val="right"/>
            </w:pPr>
            <w:r>
              <w:rPr>
                <w:b/>
                <w:color w:val="FAF7F2"/>
                <w:sz w:val="18"/>
              </w:rPr>
              <w:t>Commissions</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pPr>
        <w:pStyle w:val="Heading2"/>
      </w:pPr>
      <w:r>
        <w:t>10.2 Unit cost build</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Input</w:t>
            </w:r>
          </w:p>
        </w:tc>
        <w:tc>
          <w:tcPr>
            <w:tcW w:w="2408" w:type="dxa"/>
            <w:shd w:val="clear" w:color="auto" w:fill="1C3A2F"/>
          </w:tcPr>
          <w:p w:rsidR="007F2E02" w:rsidRDefault="00ED2C2A">
            <w:pPr>
              <w:keepNext/>
              <w:jc w:val="right"/>
            </w:pPr>
            <w:r>
              <w:rPr>
                <w:b/>
                <w:color w:val="FAF7F2"/>
                <w:sz w:val="18"/>
              </w:rPr>
              <w:t>Cost per unit of input</w:t>
            </w:r>
          </w:p>
        </w:tc>
        <w:tc>
          <w:tcPr>
            <w:tcW w:w="2408" w:type="dxa"/>
            <w:shd w:val="clear" w:color="auto" w:fill="1C3A2F"/>
          </w:tcPr>
          <w:p w:rsidR="007F2E02" w:rsidRDefault="00ED2C2A">
            <w:pPr>
              <w:keepNext/>
              <w:jc w:val="right"/>
            </w:pPr>
            <w:r>
              <w:rPr>
                <w:b/>
                <w:color w:val="FAF7F2"/>
                <w:sz w:val="18"/>
              </w:rPr>
              <w:t>Mix %</w:t>
            </w:r>
          </w:p>
        </w:tc>
        <w:tc>
          <w:tcPr>
            <w:tcW w:w="2408" w:type="dxa"/>
            <w:shd w:val="clear" w:color="auto" w:fill="1C3A2F"/>
          </w:tcPr>
          <w:p w:rsidR="007F2E02" w:rsidRDefault="00ED2C2A">
            <w:pPr>
              <w:keepNext/>
              <w:jc w:val="right"/>
            </w:pPr>
            <w:r>
              <w:rPr>
                <w:b/>
                <w:color w:val="FAF7F2"/>
                <w:sz w:val="18"/>
              </w:rPr>
              <w:t>Weighted cost</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Cost per unit sold</w:t>
            </w:r>
          </w:p>
        </w:tc>
        <w:tc>
          <w:tcPr>
            <w:tcW w:w="1605" w:type="dxa"/>
            <w:shd w:val="clear" w:color="auto" w:fill="1C3A2F"/>
          </w:tcPr>
          <w:p w:rsidR="007F2E02" w:rsidRDefault="00ED2C2A">
            <w:pPr>
              <w:keepNext/>
              <w:jc w:val="right"/>
            </w:pPr>
            <w:r>
              <w:rPr>
                <w:b/>
                <w:color w:val="FAF7F2"/>
                <w:sz w:val="18"/>
              </w:rPr>
              <w:t>Product</w:t>
            </w:r>
          </w:p>
        </w:tc>
        <w:tc>
          <w:tcPr>
            <w:tcW w:w="1605" w:type="dxa"/>
            <w:shd w:val="clear" w:color="auto" w:fill="1C3A2F"/>
          </w:tcPr>
          <w:p w:rsidR="007F2E02" w:rsidRDefault="00ED2C2A">
            <w:pPr>
              <w:keepNext/>
              <w:jc w:val="right"/>
            </w:pPr>
            <w:r>
              <w:rPr>
                <w:b/>
                <w:color w:val="FAF7F2"/>
                <w:sz w:val="18"/>
              </w:rPr>
              <w:t>Packaging</w:t>
            </w:r>
          </w:p>
        </w:tc>
        <w:tc>
          <w:tcPr>
            <w:tcW w:w="1605" w:type="dxa"/>
            <w:shd w:val="clear" w:color="auto" w:fill="1C3A2F"/>
          </w:tcPr>
          <w:p w:rsidR="007F2E02" w:rsidRDefault="00ED2C2A">
            <w:pPr>
              <w:keepNext/>
              <w:jc w:val="right"/>
            </w:pPr>
            <w:r>
              <w:rPr>
                <w:b/>
                <w:color w:val="FAF7F2"/>
                <w:sz w:val="18"/>
              </w:rPr>
              <w:t>Other</w:t>
            </w:r>
          </w:p>
        </w:tc>
        <w:tc>
          <w:tcPr>
            <w:tcW w:w="1605" w:type="dxa"/>
            <w:shd w:val="clear" w:color="auto" w:fill="1C3A2F"/>
          </w:tcPr>
          <w:p w:rsidR="007F2E02" w:rsidRDefault="00ED2C2A">
            <w:pPr>
              <w:keepNext/>
              <w:jc w:val="right"/>
            </w:pPr>
            <w:r>
              <w:rPr>
                <w:b/>
                <w:color w:val="FAF7F2"/>
                <w:sz w:val="18"/>
              </w:rPr>
              <w:t>Total COGS per unit</w:t>
            </w:r>
          </w:p>
        </w:tc>
        <w:tc>
          <w:tcPr>
            <w:tcW w:w="1605" w:type="dxa"/>
            <w:shd w:val="clear" w:color="auto" w:fill="1C3A2F"/>
          </w:tcPr>
          <w:p w:rsidR="007F2E02" w:rsidRDefault="00ED2C2A">
            <w:pPr>
              <w:keepNext/>
              <w:jc w:val="right"/>
            </w:pPr>
            <w:r>
              <w:rPr>
                <w:b/>
                <w:color w:val="FAF7F2"/>
                <w:sz w:val="18"/>
              </w:rPr>
              <w:t>Contribution at list price</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Input prices – </w:t>
            </w:r>
            <w:r>
              <w:rPr>
                <w:sz w:val="19"/>
              </w:rPr>
              <w:t>your supplier price lists and quotes, dated</w:t>
            </w:r>
          </w:p>
          <w:p w:rsidR="007F2E02" w:rsidRDefault="00ED2C2A">
            <w:pPr>
              <w:spacing w:after="40"/>
            </w:pPr>
            <w:r>
              <w:rPr>
                <w:b/>
                <w:sz w:val="19"/>
              </w:rPr>
              <w:t xml:space="preserve">Gross margin benchmark for your industry – </w:t>
            </w:r>
            <w:r>
              <w:rPr>
                <w:sz w:val="19"/>
              </w:rPr>
              <w:t xml:space="preserve">ISED Financial Performance Data </w:t>
            </w:r>
            <w:r>
              <w:rPr>
                <w:sz w:val="19"/>
              </w:rPr>
              <w:t>(Part VII) – cost of sales as % of revenue for your NAICS code</w:t>
            </w:r>
          </w:p>
          <w:p w:rsidR="007F2E02" w:rsidRDefault="00ED2C2A">
            <w:pPr>
              <w:spacing w:after="40"/>
            </w:pPr>
            <w:r>
              <w:rPr>
                <w:b/>
                <w:sz w:val="19"/>
              </w:rPr>
              <w:lastRenderedPageBreak/>
              <w:t xml:space="preserve">Food cost trajectory – </w:t>
            </w:r>
            <w:r>
              <w:rPr>
                <w:sz w:val="19"/>
              </w:rPr>
              <w:t>Canada's Food Price Report; Statistics Canada CPI food component</w:t>
            </w:r>
          </w:p>
        </w:tc>
      </w:tr>
    </w:tbl>
    <w:p w:rsidR="007F2E02" w:rsidRDefault="007F2E02">
      <w:pPr>
        <w:spacing w:after="40"/>
      </w:pPr>
    </w:p>
    <w:p w:rsidR="007F2E02" w:rsidRDefault="00ED2C2A">
      <w:pPr>
        <w:pStyle w:val="Heading1"/>
      </w:pPr>
      <w:bookmarkStart w:id="13" w:name="_Toc240027438"/>
      <w:r>
        <w:lastRenderedPageBreak/>
        <w:t>Part XI · Operating Expenses</w:t>
      </w:r>
      <w:bookmarkEnd w:id="13"/>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Labour and overhead, each line with its ba</w:t>
            </w:r>
            <w:r>
              <w:rPr>
                <w:sz w:val="20"/>
              </w:rPr>
              <w:t>sis. The total here reappears in Part XIV as two lines – labour costs and SG&amp;A excluding labour, as defined in 8.8 – and the two totals must agree to the dollar.</w:t>
            </w:r>
          </w:p>
        </w:tc>
      </w:tr>
    </w:tbl>
    <w:p w:rsidR="007F2E02" w:rsidRDefault="007F2E02">
      <w:pPr>
        <w:spacing w:after="40"/>
      </w:pPr>
    </w:p>
    <w:p w:rsidR="007F2E02" w:rsidRDefault="00ED2C2A">
      <w:pPr>
        <w:pStyle w:val="Heading2"/>
      </w:pPr>
      <w:r>
        <w:t>11.1 Labour costs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Role</w:t>
            </w:r>
          </w:p>
        </w:tc>
        <w:tc>
          <w:tcPr>
            <w:tcW w:w="1605" w:type="dxa"/>
            <w:shd w:val="clear" w:color="auto" w:fill="1C3A2F"/>
          </w:tcPr>
          <w:p w:rsidR="007F2E02" w:rsidRDefault="00ED2C2A">
            <w:pPr>
              <w:keepNext/>
              <w:jc w:val="right"/>
            </w:pPr>
            <w:r>
              <w:rPr>
                <w:b/>
                <w:color w:val="FAF7F2"/>
                <w:sz w:val="18"/>
              </w:rPr>
              <w:t>Hourly rate</w:t>
            </w:r>
          </w:p>
        </w:tc>
        <w:tc>
          <w:tcPr>
            <w:tcW w:w="1605" w:type="dxa"/>
            <w:shd w:val="clear" w:color="auto" w:fill="1C3A2F"/>
          </w:tcPr>
          <w:p w:rsidR="007F2E02" w:rsidRDefault="00ED2C2A">
            <w:pPr>
              <w:keepNext/>
              <w:jc w:val="right"/>
            </w:pPr>
            <w:r>
              <w:rPr>
                <w:b/>
                <w:color w:val="FAF7F2"/>
                <w:sz w:val="18"/>
              </w:rPr>
              <w:t>Hours / week</w:t>
            </w:r>
          </w:p>
        </w:tc>
        <w:tc>
          <w:tcPr>
            <w:tcW w:w="1605" w:type="dxa"/>
            <w:shd w:val="clear" w:color="auto" w:fill="1C3A2F"/>
          </w:tcPr>
          <w:p w:rsidR="007F2E02" w:rsidRDefault="00ED2C2A">
            <w:pPr>
              <w:keepNext/>
              <w:jc w:val="right"/>
            </w:pPr>
            <w:r>
              <w:rPr>
                <w:b/>
                <w:color w:val="FAF7F2"/>
                <w:sz w:val="18"/>
              </w:rPr>
              <w:t>Weeks</w:t>
            </w:r>
          </w:p>
        </w:tc>
        <w:tc>
          <w:tcPr>
            <w:tcW w:w="1605" w:type="dxa"/>
            <w:shd w:val="clear" w:color="auto" w:fill="1C3A2F"/>
          </w:tcPr>
          <w:p w:rsidR="007F2E02" w:rsidRDefault="00ED2C2A">
            <w:pPr>
              <w:keepNext/>
              <w:jc w:val="right"/>
            </w:pPr>
            <w:r>
              <w:rPr>
                <w:b/>
                <w:color w:val="FAF7F2"/>
                <w:sz w:val="18"/>
              </w:rPr>
              <w:t>Payroll taxes &amp; WCB</w:t>
            </w:r>
          </w:p>
        </w:tc>
        <w:tc>
          <w:tcPr>
            <w:tcW w:w="1605" w:type="dxa"/>
            <w:shd w:val="clear" w:color="auto" w:fill="1C3A2F"/>
          </w:tcPr>
          <w:p w:rsidR="007F2E02" w:rsidRDefault="00ED2C2A">
            <w:pPr>
              <w:keepNext/>
              <w:jc w:val="right"/>
            </w:pPr>
            <w:r>
              <w:rPr>
                <w:b/>
                <w:color w:val="FAF7F2"/>
                <w:sz w:val="18"/>
              </w:rPr>
              <w:t>Annual cost</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p w:rsidR="007F2E02" w:rsidRDefault="00ED2C2A">
      <w:r>
        <w:rPr>
          <w:i/>
          <w:color w:val="6B6459"/>
        </w:rPr>
        <w:t>{Total Year-1 labour cost of {$} ({%} of revenue), {n} FTE of owner labour unpaid – see 14.5.1.}</w:t>
      </w:r>
    </w:p>
    <w:p w:rsidR="007F2E02" w:rsidRDefault="00ED2C2A">
      <w:pPr>
        <w:pStyle w:val="Heading2"/>
      </w:pPr>
      <w:r>
        <w:t>11.2 Occupancy</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Base rent (area × rate)</w:t>
            </w:r>
          </w:p>
        </w:tc>
        <w:tc>
          <w:tcPr>
            <w:tcW w:w="1926" w:type="dxa"/>
            <w:shd w:val="clear" w:color="auto" w:fill="1C3A2F"/>
          </w:tcPr>
          <w:p w:rsidR="007F2E02" w:rsidRDefault="00ED2C2A">
            <w:pPr>
              <w:keepNext/>
              <w:jc w:val="right"/>
            </w:pPr>
            <w:r>
              <w:rPr>
                <w:b/>
                <w:color w:val="FAF7F2"/>
                <w:sz w:val="18"/>
              </w:rPr>
              <w:t>Operating costs (CAM, tax, insurance)</w:t>
            </w:r>
          </w:p>
        </w:tc>
        <w:tc>
          <w:tcPr>
            <w:tcW w:w="1926" w:type="dxa"/>
            <w:shd w:val="clear" w:color="auto" w:fill="1C3A2F"/>
          </w:tcPr>
          <w:p w:rsidR="007F2E02" w:rsidRDefault="00ED2C2A">
            <w:pPr>
              <w:keepNext/>
              <w:jc w:val="right"/>
            </w:pPr>
            <w:r>
              <w:rPr>
                <w:b/>
                <w:color w:val="FAF7F2"/>
                <w:sz w:val="18"/>
              </w:rPr>
              <w:t>Contract total</w:t>
            </w:r>
          </w:p>
        </w:tc>
        <w:tc>
          <w:tcPr>
            <w:tcW w:w="1926" w:type="dxa"/>
            <w:shd w:val="clear" w:color="auto" w:fill="1C3A2F"/>
          </w:tcPr>
          <w:p w:rsidR="007F2E02" w:rsidRDefault="00ED2C2A">
            <w:pPr>
              <w:keepNext/>
              <w:jc w:val="right"/>
            </w:pPr>
            <w:r>
              <w:rPr>
                <w:b/>
                <w:color w:val="FAF7F2"/>
                <w:sz w:val="18"/>
              </w:rPr>
              <w:t>Modelled Year-1 total</w:t>
            </w:r>
          </w:p>
        </w:tc>
        <w:tc>
          <w:tcPr>
            <w:tcW w:w="1926" w:type="dxa"/>
            <w:shd w:val="clear" w:color="auto" w:fill="1C3A2F"/>
          </w:tcPr>
          <w:p w:rsidR="007F2E02" w:rsidRDefault="00ED2C2A">
            <w:pPr>
              <w:keepNext/>
              <w:jc w:val="right"/>
            </w:pPr>
            <w:r>
              <w:rPr>
                <w:b/>
                <w:color w:val="FAF7F2"/>
                <w:sz w:val="18"/>
              </w:rPr>
              <w:t xml:space="preserve">Escalation </w:t>
            </w:r>
            <w:r>
              <w:rPr>
                <w:b/>
                <w:color w:val="FAF7F2"/>
                <w:sz w:val="18"/>
              </w:rPr>
              <w:t>basis</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pPr>
        <w:pStyle w:val="Heading2"/>
      </w:pPr>
      <w:r>
        <w:t>11.3 Utilities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Electricity</w:t>
            </w:r>
          </w:p>
        </w:tc>
        <w:tc>
          <w:tcPr>
            <w:tcW w:w="1605" w:type="dxa"/>
            <w:shd w:val="clear" w:color="auto" w:fill="1C3A2F"/>
          </w:tcPr>
          <w:p w:rsidR="007F2E02" w:rsidRDefault="00ED2C2A">
            <w:pPr>
              <w:keepNext/>
              <w:jc w:val="right"/>
            </w:pPr>
            <w:r>
              <w:rPr>
                <w:b/>
                <w:color w:val="FAF7F2"/>
                <w:sz w:val="18"/>
              </w:rPr>
              <w:t>Gas</w:t>
            </w:r>
          </w:p>
        </w:tc>
        <w:tc>
          <w:tcPr>
            <w:tcW w:w="1605" w:type="dxa"/>
            <w:shd w:val="clear" w:color="auto" w:fill="1C3A2F"/>
          </w:tcPr>
          <w:p w:rsidR="007F2E02" w:rsidRDefault="00ED2C2A">
            <w:pPr>
              <w:keepNext/>
              <w:jc w:val="right"/>
            </w:pPr>
            <w:r>
              <w:rPr>
                <w:b/>
                <w:color w:val="FAF7F2"/>
                <w:sz w:val="18"/>
              </w:rPr>
              <w:t>Water &amp; sewer</w:t>
            </w:r>
          </w:p>
        </w:tc>
        <w:tc>
          <w:tcPr>
            <w:tcW w:w="1605" w:type="dxa"/>
            <w:shd w:val="clear" w:color="auto" w:fill="1C3A2F"/>
          </w:tcPr>
          <w:p w:rsidR="007F2E02" w:rsidRDefault="00ED2C2A">
            <w:pPr>
              <w:keepNext/>
              <w:jc w:val="right"/>
            </w:pPr>
            <w:r>
              <w:rPr>
                <w:b/>
                <w:color w:val="FAF7F2"/>
                <w:sz w:val="18"/>
              </w:rPr>
              <w:t>Telecommunications</w:t>
            </w:r>
          </w:p>
        </w:tc>
        <w:tc>
          <w:tcPr>
            <w:tcW w:w="1605" w:type="dxa"/>
            <w:shd w:val="clear" w:color="auto" w:fill="1C3A2F"/>
          </w:tcPr>
          <w:p w:rsidR="007F2E02" w:rsidRDefault="00ED2C2A">
            <w:pPr>
              <w:keepNext/>
              <w:jc w:val="right"/>
            </w:pPr>
            <w:r>
              <w:rPr>
                <w:b/>
                <w:color w:val="FAF7F2"/>
                <w:sz w:val="18"/>
              </w:rPr>
              <w:t>Total monthly</w:t>
            </w:r>
          </w:p>
        </w:tc>
        <w:tc>
          <w:tcPr>
            <w:tcW w:w="1605" w:type="dxa"/>
            <w:shd w:val="clear" w:color="auto" w:fill="1C3A2F"/>
          </w:tcPr>
          <w:p w:rsidR="007F2E02" w:rsidRDefault="00ED2C2A">
            <w:pPr>
              <w:keepNext/>
              <w:jc w:val="right"/>
            </w:pPr>
            <w:r>
              <w:rPr>
                <w:b/>
                <w:color w:val="FAF7F2"/>
                <w:sz w:val="18"/>
              </w:rPr>
              <w:t>Total annual</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Plausibility. </w:t>
            </w:r>
            <w:r>
              <w:rPr>
                <w:sz w:val="20"/>
              </w:rPr>
              <w:t xml:space="preserve">If the figure is low for the equipment you listed in 4.2, say why. An analyst from the sector will notice $115 a month of </w:t>
            </w:r>
            <w:r>
              <w:rPr>
                <w:sz w:val="20"/>
              </w:rPr>
              <w:t>electricity beside a freezer wall.</w:t>
            </w:r>
          </w:p>
        </w:tc>
      </w:tr>
    </w:tbl>
    <w:p w:rsidR="007F2E02" w:rsidRDefault="007F2E02">
      <w:pPr>
        <w:spacing w:after="40"/>
      </w:pPr>
    </w:p>
    <w:p w:rsidR="007F2E02" w:rsidRDefault="00ED2C2A">
      <w:pPr>
        <w:pStyle w:val="Heading2"/>
      </w:pPr>
      <w:r>
        <w:t>11.4 Marketing</w:t>
      </w:r>
    </w:p>
    <w:p w:rsidR="007F2E02" w:rsidRDefault="00ED2C2A">
      <w:r>
        <w:rPr>
          <w:i/>
          <w:color w:val="6B6459"/>
        </w:rPr>
        <w:t>{Marketing expenditure is {%} of revenue ({$} in Year 1); channel split in 7.2.}</w:t>
      </w:r>
    </w:p>
    <w:p w:rsidR="007F2E02" w:rsidRDefault="00ED2C2A">
      <w:pPr>
        <w:pStyle w:val="Heading2"/>
      </w:pPr>
      <w:r>
        <w:lastRenderedPageBreak/>
        <w:t>11.5 Other operating expenses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535"/>
        <w:gridCol w:w="1984"/>
        <w:gridCol w:w="2268"/>
      </w:tblGrid>
      <w:tr w:rsidR="007F2E02">
        <w:trPr>
          <w:cantSplit/>
          <w:tblHeader/>
          <w:jc w:val="center"/>
        </w:trPr>
        <w:tc>
          <w:tcPr>
            <w:tcW w:w="4535" w:type="dxa"/>
            <w:shd w:val="clear" w:color="auto" w:fill="1C3A2F"/>
          </w:tcPr>
          <w:p w:rsidR="007F2E02" w:rsidRDefault="00ED2C2A">
            <w:pPr>
              <w:keepNext/>
            </w:pPr>
            <w:r>
              <w:rPr>
                <w:b/>
                <w:color w:val="FAF7F2"/>
                <w:sz w:val="18"/>
              </w:rPr>
              <w:t>Expense</w:t>
            </w:r>
          </w:p>
        </w:tc>
        <w:tc>
          <w:tcPr>
            <w:tcW w:w="1984" w:type="dxa"/>
            <w:shd w:val="clear" w:color="auto" w:fill="1C3A2F"/>
          </w:tcPr>
          <w:p w:rsidR="007F2E02" w:rsidRDefault="00ED2C2A">
            <w:pPr>
              <w:keepNext/>
              <w:jc w:val="right"/>
            </w:pPr>
            <w:r>
              <w:rPr>
                <w:b/>
                <w:color w:val="FAF7F2"/>
                <w:sz w:val="18"/>
              </w:rPr>
              <w:t>Frequency</w:t>
            </w:r>
          </w:p>
        </w:tc>
        <w:tc>
          <w:tcPr>
            <w:tcW w:w="2268" w:type="dxa"/>
            <w:shd w:val="clear" w:color="auto" w:fill="1C3A2F"/>
          </w:tcPr>
          <w:p w:rsidR="007F2E02" w:rsidRDefault="00ED2C2A">
            <w:pPr>
              <w:keepNext/>
              <w:jc w:val="right"/>
            </w:pPr>
            <w:r>
              <w:rPr>
                <w:b/>
                <w:color w:val="FAF7F2"/>
                <w:sz w:val="18"/>
              </w:rPr>
              <w:t>Annual cost</w:t>
            </w: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1984" w:type="dxa"/>
          </w:tcPr>
          <w:p w:rsidR="007F2E02" w:rsidRDefault="007F2E02">
            <w:pPr>
              <w:spacing w:after="0"/>
              <w:jc w:val="right"/>
            </w:pPr>
          </w:p>
        </w:tc>
        <w:tc>
          <w:tcPr>
            <w:tcW w:w="2268" w:type="dxa"/>
          </w:tcPr>
          <w:p w:rsidR="007F2E02" w:rsidRDefault="007F2E02">
            <w:pPr>
              <w:spacing w:after="0"/>
              <w:jc w:val="right"/>
            </w:pPr>
          </w:p>
        </w:tc>
      </w:tr>
    </w:tbl>
    <w:p w:rsidR="007F2E02" w:rsidRDefault="007F2E02">
      <w:pPr>
        <w:spacing w:after="40"/>
      </w:pPr>
    </w:p>
    <w:p w:rsidR="007F2E02" w:rsidRDefault="00ED2C2A">
      <w:r>
        <w:rPr>
          <w:color w:val="6B6459"/>
          <w:sz w:val="19"/>
        </w:rPr>
        <w:t>Licences, permits, insurance,</w:t>
      </w:r>
      <w:r>
        <w:rPr>
          <w:color w:val="6B6459"/>
          <w:sz w:val="19"/>
        </w:rPr>
        <w:t xml:space="preserve"> certification and training, maintenance, accounting, waste and cleaning, professional fees.</w:t>
      </w:r>
    </w:p>
    <w:p w:rsidR="007F2E02" w:rsidRDefault="00ED2C2A">
      <w:pPr>
        <w:pStyle w:val="Heading2"/>
      </w:pPr>
      <w:r>
        <w:t>11.6 Total operating cost summary</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535"/>
        <w:gridCol w:w="1984"/>
        <w:gridCol w:w="2268"/>
      </w:tblGrid>
      <w:tr w:rsidR="007F2E02">
        <w:trPr>
          <w:cantSplit/>
          <w:tblHeader/>
          <w:jc w:val="center"/>
        </w:trPr>
        <w:tc>
          <w:tcPr>
            <w:tcW w:w="4535" w:type="dxa"/>
            <w:shd w:val="clear" w:color="auto" w:fill="1C3A2F"/>
          </w:tcPr>
          <w:p w:rsidR="007F2E02" w:rsidRDefault="00ED2C2A">
            <w:pPr>
              <w:keepNext/>
            </w:pPr>
            <w:r>
              <w:rPr>
                <w:b/>
                <w:color w:val="FAF7F2"/>
                <w:sz w:val="18"/>
              </w:rPr>
              <w:t>Category</w:t>
            </w:r>
          </w:p>
        </w:tc>
        <w:tc>
          <w:tcPr>
            <w:tcW w:w="1984" w:type="dxa"/>
            <w:shd w:val="clear" w:color="auto" w:fill="1C3A2F"/>
          </w:tcPr>
          <w:p w:rsidR="007F2E02" w:rsidRDefault="00ED2C2A">
            <w:pPr>
              <w:keepNext/>
              <w:jc w:val="right"/>
            </w:pPr>
            <w:r>
              <w:rPr>
                <w:b/>
                <w:color w:val="FAF7F2"/>
                <w:sz w:val="18"/>
              </w:rPr>
              <w:t>% of revenue</w:t>
            </w:r>
          </w:p>
        </w:tc>
        <w:tc>
          <w:tcPr>
            <w:tcW w:w="2268" w:type="dxa"/>
            <w:shd w:val="clear" w:color="auto" w:fill="1C3A2F"/>
          </w:tcPr>
          <w:p w:rsidR="007F2E02" w:rsidRDefault="00ED2C2A">
            <w:pPr>
              <w:keepNext/>
              <w:jc w:val="right"/>
            </w:pPr>
            <w:r>
              <w:rPr>
                <w:b/>
                <w:color w:val="FAF7F2"/>
                <w:sz w:val="18"/>
              </w:rPr>
              <w:t>Year-1 $</w:t>
            </w:r>
          </w:p>
        </w:tc>
      </w:tr>
      <w:tr w:rsidR="007F2E02">
        <w:trPr>
          <w:jc w:val="center"/>
        </w:trPr>
        <w:tc>
          <w:tcPr>
            <w:tcW w:w="4535" w:type="dxa"/>
          </w:tcPr>
          <w:p w:rsidR="007F2E02" w:rsidRDefault="00ED2C2A">
            <w:pPr>
              <w:spacing w:after="0"/>
            </w:pPr>
            <w:r>
              <w:rPr>
                <w:b/>
                <w:sz w:val="18"/>
              </w:rPr>
              <w:t>Occupancy</w:t>
            </w: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ED2C2A">
            <w:pPr>
              <w:spacing w:after="0"/>
            </w:pPr>
            <w:r>
              <w:rPr>
                <w:b/>
                <w:sz w:val="18"/>
              </w:rPr>
              <w:t>Utilities</w:t>
            </w: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ED2C2A">
            <w:pPr>
              <w:spacing w:after="0"/>
            </w:pPr>
            <w:r>
              <w:rPr>
                <w:b/>
                <w:sz w:val="18"/>
              </w:rPr>
              <w:t>Labour</w:t>
            </w: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ED2C2A">
            <w:pPr>
              <w:spacing w:after="0"/>
            </w:pPr>
            <w:r>
              <w:rPr>
                <w:b/>
                <w:sz w:val="18"/>
              </w:rPr>
              <w:t>Marketing</w:t>
            </w: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ED2C2A">
            <w:pPr>
              <w:spacing w:after="0"/>
            </w:pPr>
            <w:r>
              <w:rPr>
                <w:b/>
                <w:sz w:val="18"/>
              </w:rPr>
              <w:t>Other</w:t>
            </w:r>
          </w:p>
        </w:tc>
        <w:tc>
          <w:tcPr>
            <w:tcW w:w="1984" w:type="dxa"/>
          </w:tcPr>
          <w:p w:rsidR="007F2E02" w:rsidRDefault="007F2E02">
            <w:pPr>
              <w:spacing w:after="0"/>
              <w:jc w:val="right"/>
            </w:pPr>
          </w:p>
        </w:tc>
        <w:tc>
          <w:tcPr>
            <w:tcW w:w="2268" w:type="dxa"/>
          </w:tcPr>
          <w:p w:rsidR="007F2E02" w:rsidRDefault="007F2E02">
            <w:pPr>
              <w:spacing w:after="0"/>
              <w:jc w:val="right"/>
            </w:pPr>
          </w:p>
        </w:tc>
      </w:tr>
      <w:tr w:rsidR="007F2E02">
        <w:trPr>
          <w:jc w:val="center"/>
        </w:trPr>
        <w:tc>
          <w:tcPr>
            <w:tcW w:w="4535" w:type="dxa"/>
          </w:tcPr>
          <w:p w:rsidR="007F2E02" w:rsidRDefault="00ED2C2A">
            <w:pPr>
              <w:spacing w:after="0"/>
            </w:pPr>
            <w:r>
              <w:rPr>
                <w:b/>
                <w:sz w:val="18"/>
              </w:rPr>
              <w:t>Total operating costs (labour + SG&amp;A)</w:t>
            </w:r>
          </w:p>
        </w:tc>
        <w:tc>
          <w:tcPr>
            <w:tcW w:w="1984" w:type="dxa"/>
          </w:tcPr>
          <w:p w:rsidR="007F2E02" w:rsidRDefault="007F2E02">
            <w:pPr>
              <w:spacing w:after="0"/>
              <w:jc w:val="right"/>
            </w:pPr>
          </w:p>
        </w:tc>
        <w:tc>
          <w:tcPr>
            <w:tcW w:w="2268" w:type="dxa"/>
          </w:tcPr>
          <w:p w:rsidR="007F2E02" w:rsidRDefault="007F2E02">
            <w:pPr>
              <w:spacing w:after="0"/>
              <w:jc w:val="right"/>
            </w:pPr>
          </w:p>
        </w:tc>
      </w:tr>
    </w:tbl>
    <w:p w:rsidR="007F2E02" w:rsidRDefault="007F2E02">
      <w:pPr>
        <w:spacing w:after="40"/>
      </w:pPr>
    </w:p>
    <w:p w:rsidR="007F2E02" w:rsidRDefault="00ED2C2A">
      <w:r>
        <w:rPr>
          <w:color w:val="6B6459"/>
          <w:sz w:val="19"/>
        </w:rPr>
        <w:t>Reconciliation: the total appears in 14.2 as two lines, labour costs and SG&amp;A excluding labour.</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Employer payroll taxes – </w:t>
            </w:r>
            <w:r>
              <w:rPr>
                <w:sz w:val="19"/>
              </w:rPr>
              <w:t>Canada Revenue Agency payroll deductions tables – CPP and EI employer rates for the year; provincial emp</w:t>
            </w:r>
            <w:r>
              <w:rPr>
                <w:sz w:val="19"/>
              </w:rPr>
              <w:t>loyer health tax if it applies to you</w:t>
            </w:r>
          </w:p>
          <w:p w:rsidR="007F2E02" w:rsidRDefault="00ED2C2A">
            <w:pPr>
              <w:spacing w:after="40"/>
            </w:pPr>
            <w:r>
              <w:rPr>
                <w:b/>
                <w:sz w:val="19"/>
              </w:rPr>
              <w:t xml:space="preserve">Workers' compensation premium – </w:t>
            </w:r>
            <w:r>
              <w:rPr>
                <w:sz w:val="19"/>
              </w:rPr>
              <w:t>your provincial board's rate for your classification</w:t>
            </w:r>
          </w:p>
          <w:p w:rsidR="007F2E02" w:rsidRDefault="00ED2C2A">
            <w:pPr>
              <w:spacing w:after="40"/>
            </w:pPr>
            <w:r>
              <w:rPr>
                <w:b/>
                <w:sz w:val="19"/>
              </w:rPr>
              <w:t xml:space="preserve">Rent reasonableness – </w:t>
            </w:r>
            <w:r>
              <w:rPr>
                <w:sz w:val="19"/>
              </w:rPr>
              <w:t xml:space="preserve">your lease; for a sanity check, the commercial brokerages' quarterly market reports (CBRE, Colliers, Cushman &amp; </w:t>
            </w:r>
            <w:r>
              <w:rPr>
                <w:sz w:val="19"/>
              </w:rPr>
              <w:t>Wakefield publish them free by city)</w:t>
            </w:r>
          </w:p>
          <w:p w:rsidR="007F2E02" w:rsidRDefault="00ED2C2A">
            <w:pPr>
              <w:spacing w:after="40"/>
            </w:pPr>
            <w:r>
              <w:rPr>
                <w:b/>
                <w:sz w:val="19"/>
              </w:rPr>
              <w:t xml:space="preserve">Utility rates – </w:t>
            </w:r>
            <w:r>
              <w:rPr>
                <w:sz w:val="19"/>
              </w:rPr>
              <w:t>your provincial utility's business rate schedule; the landlord for what is metered and what is included</w:t>
            </w:r>
          </w:p>
          <w:p w:rsidR="007F2E02" w:rsidRDefault="00ED2C2A">
            <w:pPr>
              <w:spacing w:after="40"/>
            </w:pPr>
            <w:r>
              <w:rPr>
                <w:b/>
                <w:sz w:val="19"/>
              </w:rPr>
              <w:t xml:space="preserve">Insurance – </w:t>
            </w:r>
            <w:r>
              <w:rPr>
                <w:sz w:val="19"/>
              </w:rPr>
              <w:t>a broker's written quote – attach it</w:t>
            </w:r>
          </w:p>
          <w:p w:rsidR="007F2E02" w:rsidRDefault="00ED2C2A">
            <w:pPr>
              <w:spacing w:after="40"/>
            </w:pPr>
            <w:r>
              <w:rPr>
                <w:b/>
                <w:sz w:val="19"/>
              </w:rPr>
              <w:t xml:space="preserve">Licences and permits – </w:t>
            </w:r>
            <w:r>
              <w:rPr>
                <w:sz w:val="19"/>
              </w:rPr>
              <w:t>your municipality's fee sch</w:t>
            </w:r>
            <w:r>
              <w:rPr>
                <w:sz w:val="19"/>
              </w:rPr>
              <w:t>edule</w:t>
            </w:r>
          </w:p>
          <w:p w:rsidR="007F2E02" w:rsidRDefault="00ED2C2A">
            <w:pPr>
              <w:spacing w:after="40"/>
            </w:pPr>
            <w:r>
              <w:rPr>
                <w:b/>
                <w:sz w:val="19"/>
              </w:rPr>
              <w:t xml:space="preserve">Overhead benchmarks – </w:t>
            </w:r>
            <w:r>
              <w:rPr>
                <w:sz w:val="19"/>
              </w:rPr>
              <w:t>ISED Financial Performance Data (Part VII) – rent, wages, marketing as % of revenue for your industry</w:t>
            </w:r>
          </w:p>
        </w:tc>
      </w:tr>
    </w:tbl>
    <w:p w:rsidR="007F2E02" w:rsidRDefault="007F2E02">
      <w:pPr>
        <w:spacing w:after="40"/>
      </w:pPr>
    </w:p>
    <w:p w:rsidR="007F2E02" w:rsidRDefault="00ED2C2A">
      <w:pPr>
        <w:pStyle w:val="Heading1"/>
      </w:pPr>
      <w:bookmarkStart w:id="14" w:name="_Toc240027439"/>
      <w:r>
        <w:lastRenderedPageBreak/>
        <w:t>Part XII · Capital Expenditures and Depreciation</w:t>
      </w:r>
      <w:bookmarkEnd w:id="14"/>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What is bought, when, and what it is worth </w:t>
            </w:r>
            <w:r>
              <w:rPr>
                <w:sz w:val="20"/>
              </w:rPr>
              <w:t>on the books each year. The closing net book value in 12.4 must equal the property, plant and equipment line on the balance sheet in 14.4 – an analyst checks this in seconds.</w:t>
            </w:r>
          </w:p>
        </w:tc>
      </w:tr>
    </w:tbl>
    <w:p w:rsidR="007F2E02" w:rsidRDefault="007F2E02">
      <w:pPr>
        <w:spacing w:after="40"/>
      </w:pPr>
    </w:p>
    <w:p w:rsidR="007F2E02" w:rsidRDefault="00ED2C2A">
      <w:pPr>
        <w:pStyle w:val="Heading2"/>
      </w:pPr>
      <w:r>
        <w:t>12.1 CAPEX structure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Type</w:t>
            </w:r>
          </w:p>
        </w:tc>
        <w:tc>
          <w:tcPr>
            <w:tcW w:w="2408" w:type="dxa"/>
            <w:shd w:val="clear" w:color="auto" w:fill="1C3A2F"/>
          </w:tcPr>
          <w:p w:rsidR="007F2E02" w:rsidRDefault="00ED2C2A">
            <w:pPr>
              <w:keepNext/>
              <w:jc w:val="right"/>
            </w:pPr>
            <w:r>
              <w:rPr>
                <w:b/>
                <w:color w:val="FAF7F2"/>
                <w:sz w:val="18"/>
              </w:rPr>
              <w:t>What</w:t>
            </w:r>
          </w:p>
        </w:tc>
        <w:tc>
          <w:tcPr>
            <w:tcW w:w="2408" w:type="dxa"/>
            <w:shd w:val="clear" w:color="auto" w:fill="1C3A2F"/>
          </w:tcPr>
          <w:p w:rsidR="007F2E02" w:rsidRDefault="00ED2C2A">
            <w:pPr>
              <w:keepNext/>
              <w:jc w:val="right"/>
            </w:pPr>
            <w:r>
              <w:rPr>
                <w:b/>
                <w:color w:val="FAF7F2"/>
                <w:sz w:val="18"/>
              </w:rPr>
              <w:t>When</w:t>
            </w:r>
          </w:p>
        </w:tc>
        <w:tc>
          <w:tcPr>
            <w:tcW w:w="2408" w:type="dxa"/>
            <w:shd w:val="clear" w:color="auto" w:fill="1C3A2F"/>
          </w:tcPr>
          <w:p w:rsidR="007F2E02" w:rsidRDefault="00ED2C2A">
            <w:pPr>
              <w:keepNext/>
              <w:jc w:val="right"/>
            </w:pPr>
            <w:r>
              <w:rPr>
                <w:b/>
                <w:color w:val="FAF7F2"/>
                <w:sz w:val="18"/>
              </w:rPr>
              <w:t>Basis</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Initial · growth · </w:t>
      </w:r>
      <w:r>
        <w:rPr>
          <w:color w:val="6B6459"/>
          <w:sz w:val="19"/>
        </w:rPr>
        <w:t>support (replacement and refurbishment, as % of revenue or a schedule).</w:t>
      </w:r>
    </w:p>
    <w:p w:rsidR="007F2E02" w:rsidRDefault="00ED2C2A">
      <w:pPr>
        <w:pStyle w:val="Heading2"/>
      </w:pPr>
      <w:r>
        <w:t>12.2 Initial capital expenditure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605"/>
        <w:gridCol w:w="1605"/>
        <w:gridCol w:w="1605"/>
        <w:gridCol w:w="1605"/>
        <w:gridCol w:w="1605"/>
        <w:gridCol w:w="1605"/>
      </w:tblGrid>
      <w:tr w:rsidR="007F2E02">
        <w:trPr>
          <w:cantSplit/>
          <w:tblHeader/>
          <w:jc w:val="center"/>
        </w:trPr>
        <w:tc>
          <w:tcPr>
            <w:tcW w:w="1605" w:type="dxa"/>
            <w:shd w:val="clear" w:color="auto" w:fill="1C3A2F"/>
          </w:tcPr>
          <w:p w:rsidR="007F2E02" w:rsidRDefault="00ED2C2A">
            <w:pPr>
              <w:keepNext/>
            </w:pPr>
            <w:r>
              <w:rPr>
                <w:b/>
                <w:color w:val="FAF7F2"/>
                <w:sz w:val="18"/>
              </w:rPr>
              <w:t>Component</w:t>
            </w:r>
          </w:p>
        </w:tc>
        <w:tc>
          <w:tcPr>
            <w:tcW w:w="1605" w:type="dxa"/>
            <w:shd w:val="clear" w:color="auto" w:fill="1C3A2F"/>
          </w:tcPr>
          <w:p w:rsidR="007F2E02" w:rsidRDefault="00ED2C2A">
            <w:pPr>
              <w:keepNext/>
              <w:jc w:val="right"/>
            </w:pPr>
            <w:r>
              <w:rPr>
                <w:b/>
                <w:color w:val="FAF7F2"/>
                <w:sz w:val="18"/>
              </w:rPr>
              <w:t>Amount (pre-tax)</w:t>
            </w:r>
          </w:p>
        </w:tc>
        <w:tc>
          <w:tcPr>
            <w:tcW w:w="1605" w:type="dxa"/>
            <w:shd w:val="clear" w:color="auto" w:fill="1C3A2F"/>
          </w:tcPr>
          <w:p w:rsidR="007F2E02" w:rsidRDefault="00ED2C2A">
            <w:pPr>
              <w:keepNext/>
              <w:jc w:val="right"/>
            </w:pPr>
            <w:r>
              <w:rPr>
                <w:b/>
                <w:color w:val="FAF7F2"/>
                <w:sz w:val="18"/>
              </w:rPr>
              <w:t>GST</w:t>
            </w:r>
          </w:p>
        </w:tc>
        <w:tc>
          <w:tcPr>
            <w:tcW w:w="1605" w:type="dxa"/>
            <w:shd w:val="clear" w:color="auto" w:fill="1C3A2F"/>
          </w:tcPr>
          <w:p w:rsidR="007F2E02" w:rsidRDefault="00ED2C2A">
            <w:pPr>
              <w:keepNext/>
              <w:jc w:val="right"/>
            </w:pPr>
            <w:r>
              <w:rPr>
                <w:b/>
                <w:color w:val="FAF7F2"/>
                <w:sz w:val="18"/>
              </w:rPr>
              <w:t>PST (where applicable)</w:t>
            </w:r>
          </w:p>
        </w:tc>
        <w:tc>
          <w:tcPr>
            <w:tcW w:w="1605" w:type="dxa"/>
            <w:shd w:val="clear" w:color="auto" w:fill="1C3A2F"/>
          </w:tcPr>
          <w:p w:rsidR="007F2E02" w:rsidRDefault="00ED2C2A">
            <w:pPr>
              <w:keepNext/>
              <w:jc w:val="right"/>
            </w:pPr>
            <w:r>
              <w:rPr>
                <w:b/>
                <w:color w:val="FAF7F2"/>
                <w:sz w:val="18"/>
              </w:rPr>
              <w:t>Delivery &amp; installation</w:t>
            </w:r>
          </w:p>
        </w:tc>
        <w:tc>
          <w:tcPr>
            <w:tcW w:w="1605" w:type="dxa"/>
            <w:shd w:val="clear" w:color="auto" w:fill="1C3A2F"/>
          </w:tcPr>
          <w:p w:rsidR="007F2E02" w:rsidRDefault="00ED2C2A">
            <w:pPr>
              <w:keepNext/>
              <w:jc w:val="right"/>
            </w:pPr>
            <w:r>
              <w:rPr>
                <w:b/>
                <w:color w:val="FAF7F2"/>
                <w:sz w:val="18"/>
              </w:rPr>
              <w:t>Total</w:t>
            </w: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r w:rsidR="007F2E02">
        <w:trPr>
          <w:jc w:val="center"/>
        </w:trPr>
        <w:tc>
          <w:tcPr>
            <w:tcW w:w="1605" w:type="dxa"/>
          </w:tcPr>
          <w:p w:rsidR="007F2E02" w:rsidRDefault="007F2E02">
            <w:pPr>
              <w:spacing w:after="0"/>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c>
          <w:tcPr>
            <w:tcW w:w="1605" w:type="dxa"/>
          </w:tcPr>
          <w:p w:rsidR="007F2E02" w:rsidRDefault="007F2E02">
            <w:pPr>
              <w:spacing w:after="0"/>
              <w:jc w:val="right"/>
            </w:pPr>
          </w:p>
        </w:tc>
      </w:tr>
    </w:tbl>
    <w:p w:rsidR="007F2E02" w:rsidRDefault="007F2E02">
      <w:pPr>
        <w:spacing w:after="40"/>
      </w:pPr>
    </w:p>
    <w:p w:rsidR="007F2E02" w:rsidRDefault="00ED2C2A">
      <w:pPr>
        <w:pStyle w:val="Heading2"/>
      </w:pPr>
      <w:r>
        <w:t>12.3 Growth CAPEX</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Item</w:t>
            </w:r>
          </w:p>
        </w:tc>
        <w:tc>
          <w:tcPr>
            <w:tcW w:w="1926" w:type="dxa"/>
            <w:shd w:val="clear" w:color="auto" w:fill="1C3A2F"/>
          </w:tcPr>
          <w:p w:rsidR="007F2E02" w:rsidRDefault="00ED2C2A">
            <w:pPr>
              <w:keepNext/>
              <w:jc w:val="right"/>
            </w:pPr>
            <w:r>
              <w:rPr>
                <w:b/>
                <w:color w:val="FAF7F2"/>
                <w:sz w:val="18"/>
              </w:rPr>
              <w:t>Purpose</w:t>
            </w:r>
          </w:p>
        </w:tc>
        <w:tc>
          <w:tcPr>
            <w:tcW w:w="1926" w:type="dxa"/>
            <w:shd w:val="clear" w:color="auto" w:fill="1C3A2F"/>
          </w:tcPr>
          <w:p w:rsidR="007F2E02" w:rsidRDefault="00ED2C2A">
            <w:pPr>
              <w:keepNext/>
              <w:jc w:val="right"/>
            </w:pPr>
            <w:r>
              <w:rPr>
                <w:b/>
                <w:color w:val="FAF7F2"/>
                <w:sz w:val="18"/>
              </w:rPr>
              <w:t>Base cost</w:t>
            </w:r>
          </w:p>
        </w:tc>
        <w:tc>
          <w:tcPr>
            <w:tcW w:w="1926" w:type="dxa"/>
            <w:shd w:val="clear" w:color="auto" w:fill="1C3A2F"/>
          </w:tcPr>
          <w:p w:rsidR="007F2E02" w:rsidRDefault="00ED2C2A">
            <w:pPr>
              <w:keepNext/>
              <w:jc w:val="right"/>
            </w:pPr>
            <w:r>
              <w:rPr>
                <w:b/>
                <w:color w:val="FAF7F2"/>
                <w:sz w:val="18"/>
              </w:rPr>
              <w:t>Tax</w:t>
            </w:r>
          </w:p>
        </w:tc>
        <w:tc>
          <w:tcPr>
            <w:tcW w:w="1926" w:type="dxa"/>
            <w:shd w:val="clear" w:color="auto" w:fill="1C3A2F"/>
          </w:tcPr>
          <w:p w:rsidR="007F2E02" w:rsidRDefault="00ED2C2A">
            <w:pPr>
              <w:keepNext/>
              <w:jc w:val="right"/>
            </w:pPr>
            <w:r>
              <w:rPr>
                <w:b/>
                <w:color w:val="FAF7F2"/>
                <w:sz w:val="18"/>
              </w:rPr>
              <w:t>Year</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pPr>
        <w:pStyle w:val="Heading2"/>
      </w:pPr>
      <w:r>
        <w:t>12.4 Depreciation schedule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Year</w:t>
            </w:r>
          </w:p>
        </w:tc>
        <w:tc>
          <w:tcPr>
            <w:tcW w:w="1926" w:type="dxa"/>
            <w:shd w:val="clear" w:color="auto" w:fill="1C3A2F"/>
          </w:tcPr>
          <w:p w:rsidR="007F2E02" w:rsidRDefault="00ED2C2A">
            <w:pPr>
              <w:keepNext/>
              <w:jc w:val="right"/>
            </w:pPr>
            <w:r>
              <w:rPr>
                <w:b/>
                <w:color w:val="FAF7F2"/>
                <w:sz w:val="18"/>
              </w:rPr>
              <w:t>Opening NBV</w:t>
            </w:r>
          </w:p>
        </w:tc>
        <w:tc>
          <w:tcPr>
            <w:tcW w:w="1926" w:type="dxa"/>
            <w:shd w:val="clear" w:color="auto" w:fill="1C3A2F"/>
          </w:tcPr>
          <w:p w:rsidR="007F2E02" w:rsidRDefault="00ED2C2A">
            <w:pPr>
              <w:keepNext/>
              <w:jc w:val="right"/>
            </w:pPr>
            <w:r>
              <w:rPr>
                <w:b/>
                <w:color w:val="FAF7F2"/>
                <w:sz w:val="18"/>
              </w:rPr>
              <w:t>Additions</w:t>
            </w:r>
          </w:p>
        </w:tc>
        <w:tc>
          <w:tcPr>
            <w:tcW w:w="1926" w:type="dxa"/>
            <w:shd w:val="clear" w:color="auto" w:fill="1C3A2F"/>
          </w:tcPr>
          <w:p w:rsidR="007F2E02" w:rsidRDefault="00ED2C2A">
            <w:pPr>
              <w:keepNext/>
              <w:jc w:val="right"/>
            </w:pPr>
            <w:r>
              <w:rPr>
                <w:b/>
                <w:color w:val="FAF7F2"/>
                <w:sz w:val="18"/>
              </w:rPr>
              <w:t>Depreciation</w:t>
            </w:r>
          </w:p>
        </w:tc>
        <w:tc>
          <w:tcPr>
            <w:tcW w:w="1926" w:type="dxa"/>
            <w:shd w:val="clear" w:color="auto" w:fill="1C3A2F"/>
          </w:tcPr>
          <w:p w:rsidR="007F2E02" w:rsidRDefault="00ED2C2A">
            <w:pPr>
              <w:keepNext/>
              <w:jc w:val="right"/>
            </w:pPr>
            <w:r>
              <w:rPr>
                <w:b/>
                <w:color w:val="FAF7F2"/>
                <w:sz w:val="18"/>
              </w:rPr>
              <w:t>Closing NBV</w:t>
            </w:r>
          </w:p>
        </w:tc>
      </w:tr>
      <w:tr w:rsidR="007F2E02">
        <w:trPr>
          <w:jc w:val="center"/>
        </w:trPr>
        <w:tc>
          <w:tcPr>
            <w:tcW w:w="1926" w:type="dxa"/>
          </w:tcPr>
          <w:p w:rsidR="007F2E02" w:rsidRDefault="00ED2C2A">
            <w:pPr>
              <w:spacing w:after="0"/>
            </w:pPr>
            <w:r>
              <w:rPr>
                <w:sz w:val="18"/>
              </w:rPr>
              <w:t>Year 1</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lastRenderedPageBreak/>
              <w:t>Year 2</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Year 3</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Year 4</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sz w:val="18"/>
              </w:rPr>
              <w:t>Year 5</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Additions equal support plus growth CAPEX of the year. Closing NBV </w:t>
      </w:r>
      <w:r>
        <w:rPr>
          <w:color w:val="6B6459"/>
          <w:sz w:val="19"/>
        </w:rPr>
        <w:t>equals net PPE in 14.4.</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Equipment and build-out cost – </w:t>
            </w:r>
            <w:r>
              <w:rPr>
                <w:sz w:val="19"/>
              </w:rPr>
              <w:t>supplier and contractor quotes – attach them</w:t>
            </w:r>
          </w:p>
          <w:p w:rsidR="007F2E02" w:rsidRDefault="00ED2C2A">
            <w:pPr>
              <w:spacing w:after="40"/>
            </w:pPr>
            <w:r>
              <w:rPr>
                <w:b/>
                <w:sz w:val="19"/>
              </w:rPr>
              <w:t xml:space="preserve">Sales tax on purchases – </w:t>
            </w:r>
            <w:r>
              <w:rPr>
                <w:sz w:val="19"/>
              </w:rPr>
              <w:t>Canada Revenue Agency GST/HST rates; your province's PST rules for equipment</w:t>
            </w:r>
          </w:p>
          <w:p w:rsidR="007F2E02" w:rsidRDefault="00ED2C2A">
            <w:pPr>
              <w:spacing w:after="40"/>
            </w:pPr>
            <w:r>
              <w:rPr>
                <w:b/>
                <w:sz w:val="19"/>
              </w:rPr>
              <w:t xml:space="preserve">Useful lives – </w:t>
            </w:r>
            <w:r>
              <w:rPr>
                <w:sz w:val="19"/>
              </w:rPr>
              <w:t>Canada Reve</w:t>
            </w:r>
            <w:r>
              <w:rPr>
                <w:sz w:val="19"/>
              </w:rPr>
              <w:t>nue Agency capital cost allowance classes as a reference point; manufacturers' expected-life statements for the equipment itself</w:t>
            </w:r>
          </w:p>
        </w:tc>
      </w:tr>
    </w:tbl>
    <w:p w:rsidR="007F2E02" w:rsidRDefault="007F2E02">
      <w:pPr>
        <w:spacing w:after="40"/>
      </w:pPr>
    </w:p>
    <w:p w:rsidR="007F2E02" w:rsidRDefault="00ED2C2A">
      <w:pPr>
        <w:pStyle w:val="Heading1"/>
      </w:pPr>
      <w:bookmarkStart w:id="15" w:name="_Toc240027440"/>
      <w:r>
        <w:lastRenderedPageBreak/>
        <w:t>Part XIII · Working Capital</w:t>
      </w:r>
      <w:bookmarkEnd w:id="15"/>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How much cash sits between paying suppliers and being paid. The </w:t>
            </w:r>
            <w:r>
              <w:rPr>
                <w:sz w:val="20"/>
              </w:rPr>
              <w:t>days assumed here have to match how the business is actually paid: thirty days of receivables in a business paid by card at the counter is a template value, and an analyst from the sector will discard the forecast on it.</w:t>
            </w:r>
          </w:p>
        </w:tc>
      </w:tr>
    </w:tbl>
    <w:p w:rsidR="007F2E02" w:rsidRDefault="007F2E02">
      <w:pPr>
        <w:spacing w:after="40"/>
      </w:pPr>
    </w:p>
    <w:p w:rsidR="007F2E02" w:rsidRDefault="00ED2C2A">
      <w:pPr>
        <w:pStyle w:val="Heading2"/>
      </w:pPr>
      <w:r>
        <w:t>13.1 Definition</w:t>
      </w:r>
    </w:p>
    <w:p w:rsidR="007F2E02" w:rsidRDefault="00ED2C2A">
      <w:r>
        <w:t>Net working capit</w:t>
      </w:r>
      <w:r>
        <w:t>al = accounts receivable + inventory − accounts payable.</w:t>
      </w:r>
    </w:p>
    <w:p w:rsidR="007F2E02" w:rsidRDefault="00ED2C2A">
      <w:pPr>
        <w:pStyle w:val="Heading2"/>
      </w:pPr>
      <w:r>
        <w:t>13.2 Turnover assumptions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08"/>
        <w:gridCol w:w="2408"/>
        <w:gridCol w:w="2408"/>
        <w:gridCol w:w="2408"/>
      </w:tblGrid>
      <w:tr w:rsidR="007F2E02">
        <w:trPr>
          <w:cantSplit/>
          <w:tblHeader/>
          <w:jc w:val="center"/>
        </w:trPr>
        <w:tc>
          <w:tcPr>
            <w:tcW w:w="2408" w:type="dxa"/>
            <w:shd w:val="clear" w:color="auto" w:fill="1C3A2F"/>
          </w:tcPr>
          <w:p w:rsidR="007F2E02" w:rsidRDefault="00ED2C2A">
            <w:pPr>
              <w:keepNext/>
            </w:pPr>
            <w:r>
              <w:rPr>
                <w:b/>
                <w:color w:val="FAF7F2"/>
                <w:sz w:val="18"/>
              </w:rPr>
              <w:t>Component</w:t>
            </w:r>
          </w:p>
        </w:tc>
        <w:tc>
          <w:tcPr>
            <w:tcW w:w="2408" w:type="dxa"/>
            <w:shd w:val="clear" w:color="auto" w:fill="1C3A2F"/>
          </w:tcPr>
          <w:p w:rsidR="007F2E02" w:rsidRDefault="00ED2C2A">
            <w:pPr>
              <w:keepNext/>
              <w:jc w:val="right"/>
            </w:pPr>
            <w:r>
              <w:rPr>
                <w:b/>
                <w:color w:val="FAF7F2"/>
                <w:sz w:val="18"/>
              </w:rPr>
              <w:t>Days</w:t>
            </w:r>
          </w:p>
        </w:tc>
        <w:tc>
          <w:tcPr>
            <w:tcW w:w="2408" w:type="dxa"/>
            <w:shd w:val="clear" w:color="auto" w:fill="1C3A2F"/>
          </w:tcPr>
          <w:p w:rsidR="007F2E02" w:rsidRDefault="00ED2C2A">
            <w:pPr>
              <w:keepNext/>
              <w:jc w:val="right"/>
            </w:pPr>
            <w:r>
              <w:rPr>
                <w:b/>
                <w:color w:val="FAF7F2"/>
                <w:sz w:val="18"/>
              </w:rPr>
              <w:t>% of driver</w:t>
            </w:r>
          </w:p>
        </w:tc>
        <w:tc>
          <w:tcPr>
            <w:tcW w:w="2408" w:type="dxa"/>
            <w:shd w:val="clear" w:color="auto" w:fill="1C3A2F"/>
          </w:tcPr>
          <w:p w:rsidR="007F2E02" w:rsidRDefault="00ED2C2A">
            <w:pPr>
              <w:keepNext/>
              <w:jc w:val="right"/>
            </w:pPr>
            <w:r>
              <w:rPr>
                <w:b/>
                <w:color w:val="FAF7F2"/>
                <w:sz w:val="18"/>
              </w:rPr>
              <w:t>Rationale</w:t>
            </w: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r w:rsidR="007F2E02">
        <w:trPr>
          <w:jc w:val="center"/>
        </w:trPr>
        <w:tc>
          <w:tcPr>
            <w:tcW w:w="2408" w:type="dxa"/>
          </w:tcPr>
          <w:p w:rsidR="007F2E02" w:rsidRDefault="007F2E02">
            <w:pPr>
              <w:spacing w:after="0"/>
            </w:pPr>
          </w:p>
        </w:tc>
        <w:tc>
          <w:tcPr>
            <w:tcW w:w="2408" w:type="dxa"/>
          </w:tcPr>
          <w:p w:rsidR="007F2E02" w:rsidRDefault="007F2E02">
            <w:pPr>
              <w:spacing w:after="0"/>
              <w:jc w:val="right"/>
            </w:pPr>
          </w:p>
        </w:tc>
        <w:tc>
          <w:tcPr>
            <w:tcW w:w="2408" w:type="dxa"/>
          </w:tcPr>
          <w:p w:rsidR="007F2E02" w:rsidRDefault="007F2E02">
            <w:pPr>
              <w:spacing w:after="0"/>
              <w:jc w:val="right"/>
            </w:pPr>
          </w:p>
        </w:tc>
        <w:tc>
          <w:tcPr>
            <w:tcW w:w="2408" w:type="dxa"/>
          </w:tcPr>
          <w:p w:rsidR="007F2E02" w:rsidRDefault="007F2E02">
            <w:pPr>
              <w:spacing w:after="0"/>
              <w:jc w:val="right"/>
            </w:pPr>
          </w:p>
        </w:tc>
      </w:tr>
    </w:tbl>
    <w:p w:rsidR="007F2E02" w:rsidRDefault="007F2E02">
      <w:pPr>
        <w:spacing w:after="40"/>
      </w:pPr>
    </w:p>
    <w:p w:rsidR="007F2E02" w:rsidRDefault="00ED2C2A">
      <w:pPr>
        <w:pStyle w:val="Heading2"/>
      </w:pPr>
      <w:r>
        <w:t>13.3 Net working capital projection</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204"/>
        <w:gridCol w:w="1204"/>
        <w:gridCol w:w="1204"/>
        <w:gridCol w:w="1204"/>
        <w:gridCol w:w="1204"/>
        <w:gridCol w:w="1204"/>
        <w:gridCol w:w="1204"/>
        <w:gridCol w:w="1204"/>
      </w:tblGrid>
      <w:tr w:rsidR="007F2E02">
        <w:trPr>
          <w:cantSplit/>
          <w:tblHeader/>
          <w:jc w:val="center"/>
        </w:trPr>
        <w:tc>
          <w:tcPr>
            <w:tcW w:w="1204" w:type="dxa"/>
            <w:shd w:val="clear" w:color="auto" w:fill="1C3A2F"/>
          </w:tcPr>
          <w:p w:rsidR="007F2E02" w:rsidRDefault="00ED2C2A">
            <w:pPr>
              <w:keepNext/>
            </w:pPr>
            <w:r>
              <w:rPr>
                <w:b/>
                <w:color w:val="FAF7F2"/>
                <w:sz w:val="18"/>
              </w:rPr>
              <w:t>Year</w:t>
            </w:r>
          </w:p>
        </w:tc>
        <w:tc>
          <w:tcPr>
            <w:tcW w:w="1204" w:type="dxa"/>
            <w:shd w:val="clear" w:color="auto" w:fill="1C3A2F"/>
          </w:tcPr>
          <w:p w:rsidR="007F2E02" w:rsidRDefault="00ED2C2A">
            <w:pPr>
              <w:keepNext/>
              <w:jc w:val="right"/>
            </w:pPr>
            <w:r>
              <w:rPr>
                <w:b/>
                <w:color w:val="FAF7F2"/>
                <w:sz w:val="18"/>
              </w:rPr>
              <w:t>Revenue</w:t>
            </w:r>
          </w:p>
        </w:tc>
        <w:tc>
          <w:tcPr>
            <w:tcW w:w="1204" w:type="dxa"/>
            <w:shd w:val="clear" w:color="auto" w:fill="1C3A2F"/>
          </w:tcPr>
          <w:p w:rsidR="007F2E02" w:rsidRDefault="00ED2C2A">
            <w:pPr>
              <w:keepNext/>
              <w:jc w:val="right"/>
            </w:pPr>
            <w:r>
              <w:rPr>
                <w:b/>
                <w:color w:val="FAF7F2"/>
                <w:sz w:val="18"/>
              </w:rPr>
              <w:t>COGS</w:t>
            </w:r>
          </w:p>
        </w:tc>
        <w:tc>
          <w:tcPr>
            <w:tcW w:w="1204" w:type="dxa"/>
            <w:shd w:val="clear" w:color="auto" w:fill="1C3A2F"/>
          </w:tcPr>
          <w:p w:rsidR="007F2E02" w:rsidRDefault="00ED2C2A">
            <w:pPr>
              <w:keepNext/>
              <w:jc w:val="right"/>
            </w:pPr>
            <w:r>
              <w:rPr>
                <w:b/>
                <w:color w:val="FAF7F2"/>
                <w:sz w:val="18"/>
              </w:rPr>
              <w:t>AR</w:t>
            </w:r>
          </w:p>
        </w:tc>
        <w:tc>
          <w:tcPr>
            <w:tcW w:w="1204" w:type="dxa"/>
            <w:shd w:val="clear" w:color="auto" w:fill="1C3A2F"/>
          </w:tcPr>
          <w:p w:rsidR="007F2E02" w:rsidRDefault="00ED2C2A">
            <w:pPr>
              <w:keepNext/>
              <w:jc w:val="right"/>
            </w:pPr>
            <w:r>
              <w:rPr>
                <w:b/>
                <w:color w:val="FAF7F2"/>
                <w:sz w:val="18"/>
              </w:rPr>
              <w:t>Inventory</w:t>
            </w:r>
          </w:p>
        </w:tc>
        <w:tc>
          <w:tcPr>
            <w:tcW w:w="1204" w:type="dxa"/>
            <w:shd w:val="clear" w:color="auto" w:fill="1C3A2F"/>
          </w:tcPr>
          <w:p w:rsidR="007F2E02" w:rsidRDefault="00ED2C2A">
            <w:pPr>
              <w:keepNext/>
              <w:jc w:val="right"/>
            </w:pPr>
            <w:r>
              <w:rPr>
                <w:b/>
                <w:color w:val="FAF7F2"/>
                <w:sz w:val="18"/>
              </w:rPr>
              <w:t>AP</w:t>
            </w:r>
          </w:p>
        </w:tc>
        <w:tc>
          <w:tcPr>
            <w:tcW w:w="1204" w:type="dxa"/>
            <w:shd w:val="clear" w:color="auto" w:fill="1C3A2F"/>
          </w:tcPr>
          <w:p w:rsidR="007F2E02" w:rsidRDefault="00ED2C2A">
            <w:pPr>
              <w:keepNext/>
              <w:jc w:val="right"/>
            </w:pPr>
            <w:r>
              <w:rPr>
                <w:b/>
                <w:color w:val="FAF7F2"/>
                <w:sz w:val="18"/>
              </w:rPr>
              <w:t>NWC</w:t>
            </w:r>
          </w:p>
        </w:tc>
        <w:tc>
          <w:tcPr>
            <w:tcW w:w="1204" w:type="dxa"/>
            <w:shd w:val="clear" w:color="auto" w:fill="1C3A2F"/>
          </w:tcPr>
          <w:p w:rsidR="007F2E02" w:rsidRDefault="00ED2C2A">
            <w:pPr>
              <w:keepNext/>
              <w:jc w:val="right"/>
            </w:pPr>
            <w:r>
              <w:rPr>
                <w:b/>
                <w:color w:val="FAF7F2"/>
                <w:sz w:val="18"/>
              </w:rPr>
              <w:t>Change in NWC</w:t>
            </w:r>
          </w:p>
        </w:tc>
      </w:tr>
      <w:tr w:rsidR="007F2E02">
        <w:trPr>
          <w:jc w:val="center"/>
        </w:trPr>
        <w:tc>
          <w:tcPr>
            <w:tcW w:w="1204" w:type="dxa"/>
          </w:tcPr>
          <w:p w:rsidR="007F2E02" w:rsidRDefault="007F2E02">
            <w:pPr>
              <w:spacing w:after="0"/>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r>
      <w:tr w:rsidR="007F2E02">
        <w:trPr>
          <w:jc w:val="center"/>
        </w:trPr>
        <w:tc>
          <w:tcPr>
            <w:tcW w:w="1204" w:type="dxa"/>
          </w:tcPr>
          <w:p w:rsidR="007F2E02" w:rsidRDefault="007F2E02">
            <w:pPr>
              <w:spacing w:after="0"/>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r>
      <w:tr w:rsidR="007F2E02">
        <w:trPr>
          <w:jc w:val="center"/>
        </w:trPr>
        <w:tc>
          <w:tcPr>
            <w:tcW w:w="1204" w:type="dxa"/>
          </w:tcPr>
          <w:p w:rsidR="007F2E02" w:rsidRDefault="007F2E02">
            <w:pPr>
              <w:spacing w:after="0"/>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r>
      <w:tr w:rsidR="007F2E02">
        <w:trPr>
          <w:jc w:val="center"/>
        </w:trPr>
        <w:tc>
          <w:tcPr>
            <w:tcW w:w="1204" w:type="dxa"/>
          </w:tcPr>
          <w:p w:rsidR="007F2E02" w:rsidRDefault="007F2E02">
            <w:pPr>
              <w:spacing w:after="0"/>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r>
      <w:tr w:rsidR="007F2E02">
        <w:trPr>
          <w:jc w:val="center"/>
        </w:trPr>
        <w:tc>
          <w:tcPr>
            <w:tcW w:w="1204" w:type="dxa"/>
          </w:tcPr>
          <w:p w:rsidR="007F2E02" w:rsidRDefault="007F2E02">
            <w:pPr>
              <w:spacing w:after="0"/>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c>
          <w:tcPr>
            <w:tcW w:w="1204" w:type="dxa"/>
          </w:tcPr>
          <w:p w:rsidR="007F2E02" w:rsidRDefault="007F2E02">
            <w:pPr>
              <w:spacing w:after="0"/>
              <w:jc w:val="right"/>
            </w:pPr>
          </w:p>
        </w:tc>
      </w:tr>
    </w:tbl>
    <w:p w:rsidR="007F2E02" w:rsidRDefault="007F2E02">
      <w:pPr>
        <w:spacing w:after="40"/>
      </w:pPr>
    </w:p>
    <w:p w:rsidR="007F2E02" w:rsidRDefault="00ED2C2A">
      <w:r>
        <w:rPr>
          <w:i/>
          <w:color w:val="6B6459"/>
        </w:rPr>
        <w:t>{State whether working capital is a source or a use of cash and why – in a cash business, payables usually exceed receivables plus inventory.}</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Receivable days – </w:t>
            </w:r>
            <w:r>
              <w:rPr>
                <w:sz w:val="19"/>
              </w:rPr>
              <w:t xml:space="preserve">your payment processor's settlement terms </w:t>
            </w:r>
            <w:r>
              <w:rPr>
                <w:sz w:val="19"/>
              </w:rPr>
              <w:t>(typically one to two business days for card), or your customers' credit terms if business-to-business</w:t>
            </w:r>
          </w:p>
          <w:p w:rsidR="007F2E02" w:rsidRDefault="00ED2C2A">
            <w:pPr>
              <w:spacing w:after="40"/>
            </w:pPr>
            <w:r>
              <w:rPr>
                <w:b/>
                <w:sz w:val="19"/>
              </w:rPr>
              <w:t xml:space="preserve">Inventory days – </w:t>
            </w:r>
            <w:r>
              <w:rPr>
                <w:sz w:val="19"/>
              </w:rPr>
              <w:t>your suppliers' delivery frequency and the shelf life of what you hold</w:t>
            </w:r>
          </w:p>
          <w:p w:rsidR="007F2E02" w:rsidRDefault="00ED2C2A">
            <w:pPr>
              <w:spacing w:after="40"/>
            </w:pPr>
            <w:r>
              <w:rPr>
                <w:b/>
                <w:sz w:val="19"/>
              </w:rPr>
              <w:t xml:space="preserve">Payable days – </w:t>
            </w:r>
            <w:r>
              <w:rPr>
                <w:sz w:val="19"/>
              </w:rPr>
              <w:t xml:space="preserve">your suppliers' stated terms – net 15, net 30, or </w:t>
            </w:r>
            <w:r>
              <w:rPr>
                <w:sz w:val="19"/>
              </w:rPr>
              <w:t>cash on delivery for a new account</w:t>
            </w:r>
          </w:p>
        </w:tc>
      </w:tr>
    </w:tbl>
    <w:p w:rsidR="007F2E02" w:rsidRDefault="007F2E02">
      <w:pPr>
        <w:spacing w:after="40"/>
      </w:pPr>
    </w:p>
    <w:p w:rsidR="007F2E02" w:rsidRDefault="00ED2C2A">
      <w:pPr>
        <w:pStyle w:val="Heading1"/>
      </w:pPr>
      <w:bookmarkStart w:id="16" w:name="_Toc240027441"/>
      <w:r>
        <w:lastRenderedPageBreak/>
        <w:t>Part XIV · Financial Projections</w:t>
      </w:r>
      <w:bookmarkEnd w:id="16"/>
    </w:p>
    <w:tbl>
      <w:tblPr>
        <w:tblW w:w="0" w:type="auto"/>
        <w:jc w:val="center"/>
        <w:tblBorders>
          <w:top w:val="single" w:sz="4" w:space="0" w:color="1C3A2F"/>
          <w:left w:val="nil"/>
          <w:bottom w:val="single" w:sz="4" w:space="0" w:color="1C3A2F"/>
          <w:right w:val="nil"/>
          <w:insideH w:val="nil"/>
          <w:insideV w:val="nil"/>
        </w:tblBorders>
        <w:tblCellMar>
          <w:top w:w="160" w:type="dxa"/>
          <w:left w:w="200" w:type="dxa"/>
          <w:bottom w:w="160" w:type="dxa"/>
          <w:right w:w="200" w:type="dxa"/>
        </w:tblCellMar>
        <w:tblLook w:val="04A0" w:firstRow="1" w:lastRow="0" w:firstColumn="1" w:lastColumn="0" w:noHBand="0" w:noVBand="1"/>
      </w:tblPr>
      <w:tblGrid>
        <w:gridCol w:w="9632"/>
      </w:tblGrid>
      <w:tr w:rsidR="007F2E02">
        <w:trPr>
          <w:jc w:val="center"/>
        </w:trPr>
        <w:tc>
          <w:tcPr>
            <w:tcW w:w="9632" w:type="dxa"/>
            <w:shd w:val="clear" w:color="auto" w:fill="1C3A2F"/>
          </w:tcPr>
          <w:p w:rsidR="007F2E02" w:rsidRDefault="00ED2C2A">
            <w:r>
              <w:rPr>
                <w:b/>
                <w:color w:val="C9A84C"/>
                <w:sz w:val="24"/>
              </w:rPr>
              <w:t>Where most self-written plans stop being read</w:t>
            </w:r>
          </w:p>
          <w:p w:rsidR="007F2E02" w:rsidRDefault="00ED2C2A">
            <w:pPr>
              <w:spacing w:before="120" w:after="0"/>
            </w:pPr>
            <w:r>
              <w:rPr>
                <w:color w:val="FAF7F2"/>
                <w:sz w:val="20"/>
              </w:rPr>
              <w:t>Everything before this page can be written. This part has to be calculated, and calculated in a way that ties: the profit and loss adds down</w:t>
            </w:r>
            <w:r>
              <w:rPr>
                <w:color w:val="FAF7F2"/>
                <w:sz w:val="20"/>
              </w:rPr>
              <w:t xml:space="preserve"> line by line, the cash flow closes to the balance sheet, the depreciation schedule closes to the fixed-asset line, and debt service coverage reads the same in the summary, here, and in the funding request. An analyst does that arithmetic in the first five</w:t>
            </w:r>
            <w:r>
              <w:rPr>
                <w:color w:val="FAF7F2"/>
                <w:sz w:val="20"/>
              </w:rPr>
              <w:t xml:space="preserve"> minutes, and a table that does not tie ends the reading.</w:t>
            </w:r>
          </w:p>
          <w:p w:rsidR="007F2E02" w:rsidRDefault="00ED2C2A">
            <w:pPr>
              <w:spacing w:before="120" w:after="0"/>
            </w:pPr>
            <w:r>
              <w:rPr>
                <w:color w:val="FAF7F2"/>
                <w:sz w:val="20"/>
              </w:rPr>
              <w:t>Five figures decide the file. Debt service coverage in every year, at or above the lender's floor (commonly 1.25×). The lowest cash balance across the forecast and the month it falls in – above zero</w:t>
            </w:r>
            <w:r>
              <w:rPr>
                <w:color w:val="FAF7F2"/>
                <w:sz w:val="20"/>
              </w:rPr>
              <w:t>. How far revenue can fall before coverage reaches the floor. Break-even on cash, not only on EBITDA. Coverage after the owners pay themselves a wage. If you can produce those five from a model that ties, fill in the tables below. If you cannot, that is th</w:t>
            </w:r>
            <w:r>
              <w:rPr>
                <w:color w:val="FAF7F2"/>
                <w:sz w:val="20"/>
              </w:rPr>
              <w:t>e part we build: a bottom-up model in Excel, the plan written around it, and every figure in Parts I–XV taken from the same cells.</w:t>
            </w:r>
          </w:p>
          <w:p w:rsidR="007F2E02" w:rsidRDefault="00ED2C2A">
            <w:pPr>
              <w:spacing w:before="120" w:after="0"/>
            </w:pPr>
            <w:r>
              <w:rPr>
                <w:color w:val="FAF7F2"/>
                <w:sz w:val="20"/>
              </w:rPr>
              <w:t>If you already have a draft and want it read the way a credit desk reads it, that is a Plan Check: a written report on what w</w:t>
            </w:r>
            <w:r>
              <w:rPr>
                <w:color w:val="FAF7F2"/>
                <w:sz w:val="20"/>
              </w:rPr>
              <w:t>ould fail, for CA$490, credited in full against any engagement within sixty days. clarivagroups.ca/business-plan</w:t>
            </w:r>
          </w:p>
        </w:tc>
      </w:tr>
    </w:tbl>
    <w:p w:rsidR="007F2E02" w:rsidRDefault="007F2E02">
      <w:pPr>
        <w:spacing w:after="40"/>
      </w:pPr>
    </w:p>
    <w:p w:rsidR="007F2E02" w:rsidRDefault="00ED2C2A">
      <w:pPr>
        <w:pStyle w:val="Heading2"/>
      </w:pPr>
      <w:r>
        <w:t>14.1 Financial highlights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2494"/>
        <w:gridCol w:w="1134"/>
        <w:gridCol w:w="1134"/>
        <w:gridCol w:w="1134"/>
        <w:gridCol w:w="1134"/>
        <w:gridCol w:w="1134"/>
        <w:gridCol w:w="1134"/>
      </w:tblGrid>
      <w:tr w:rsidR="007F2E02">
        <w:trPr>
          <w:cantSplit/>
          <w:tblHeader/>
          <w:jc w:val="center"/>
        </w:trPr>
        <w:tc>
          <w:tcPr>
            <w:tcW w:w="2494" w:type="dxa"/>
            <w:shd w:val="clear" w:color="auto" w:fill="1C3A2F"/>
          </w:tcPr>
          <w:p w:rsidR="007F2E02" w:rsidRDefault="007F2E02">
            <w:pPr>
              <w:keepNext/>
            </w:pPr>
          </w:p>
        </w:tc>
        <w:tc>
          <w:tcPr>
            <w:tcW w:w="1134" w:type="dxa"/>
            <w:shd w:val="clear" w:color="auto" w:fill="1C3A2F"/>
          </w:tcPr>
          <w:p w:rsidR="007F2E02" w:rsidRDefault="00ED2C2A">
            <w:pPr>
              <w:keepNext/>
              <w:jc w:val="right"/>
            </w:pPr>
            <w:r>
              <w:rPr>
                <w:b/>
                <w:color w:val="FAF7F2"/>
                <w:sz w:val="18"/>
              </w:rPr>
              <w:t>Year 1</w:t>
            </w:r>
          </w:p>
        </w:tc>
        <w:tc>
          <w:tcPr>
            <w:tcW w:w="1134" w:type="dxa"/>
            <w:shd w:val="clear" w:color="auto" w:fill="1C3A2F"/>
          </w:tcPr>
          <w:p w:rsidR="007F2E02" w:rsidRDefault="00ED2C2A">
            <w:pPr>
              <w:keepNext/>
              <w:jc w:val="right"/>
            </w:pPr>
            <w:r>
              <w:rPr>
                <w:b/>
                <w:color w:val="FAF7F2"/>
                <w:sz w:val="18"/>
              </w:rPr>
              <w:t>Year 2</w:t>
            </w:r>
          </w:p>
        </w:tc>
        <w:tc>
          <w:tcPr>
            <w:tcW w:w="1134" w:type="dxa"/>
            <w:shd w:val="clear" w:color="auto" w:fill="1C3A2F"/>
          </w:tcPr>
          <w:p w:rsidR="007F2E02" w:rsidRDefault="00ED2C2A">
            <w:pPr>
              <w:keepNext/>
              <w:jc w:val="right"/>
            </w:pPr>
            <w:r>
              <w:rPr>
                <w:b/>
                <w:color w:val="FAF7F2"/>
                <w:sz w:val="18"/>
              </w:rPr>
              <w:t>Year 3</w:t>
            </w:r>
          </w:p>
        </w:tc>
        <w:tc>
          <w:tcPr>
            <w:tcW w:w="1134" w:type="dxa"/>
            <w:shd w:val="clear" w:color="auto" w:fill="1C3A2F"/>
          </w:tcPr>
          <w:p w:rsidR="007F2E02" w:rsidRDefault="00ED2C2A">
            <w:pPr>
              <w:keepNext/>
              <w:jc w:val="right"/>
            </w:pPr>
            <w:r>
              <w:rPr>
                <w:b/>
                <w:color w:val="FAF7F2"/>
                <w:sz w:val="18"/>
              </w:rPr>
              <w:t>Year 4</w:t>
            </w:r>
          </w:p>
        </w:tc>
        <w:tc>
          <w:tcPr>
            <w:tcW w:w="1134" w:type="dxa"/>
            <w:shd w:val="clear" w:color="auto" w:fill="1C3A2F"/>
          </w:tcPr>
          <w:p w:rsidR="007F2E02" w:rsidRDefault="00ED2C2A">
            <w:pPr>
              <w:keepNext/>
              <w:jc w:val="right"/>
            </w:pPr>
            <w:r>
              <w:rPr>
                <w:b/>
                <w:color w:val="FAF7F2"/>
                <w:sz w:val="18"/>
              </w:rPr>
              <w:t>Year 5</w:t>
            </w:r>
          </w:p>
        </w:tc>
        <w:tc>
          <w:tcPr>
            <w:tcW w:w="1134" w:type="dxa"/>
            <w:shd w:val="clear" w:color="auto" w:fill="1C3A2F"/>
          </w:tcPr>
          <w:p w:rsidR="007F2E02" w:rsidRDefault="00ED2C2A">
            <w:pPr>
              <w:keepNext/>
              <w:jc w:val="right"/>
            </w:pPr>
            <w:r>
              <w:rPr>
                <w:b/>
                <w:color w:val="FAF7F2"/>
                <w:sz w:val="18"/>
              </w:rPr>
              <w:t>5-year total</w:t>
            </w:r>
          </w:p>
        </w:tc>
      </w:tr>
      <w:tr w:rsidR="007F2E02">
        <w:trPr>
          <w:jc w:val="center"/>
        </w:trPr>
        <w:tc>
          <w:tcPr>
            <w:tcW w:w="2494" w:type="dxa"/>
          </w:tcPr>
          <w:p w:rsidR="007F2E02" w:rsidRDefault="00ED2C2A">
            <w:pPr>
              <w:spacing w:after="0"/>
            </w:pPr>
            <w:r>
              <w:rPr>
                <w:b/>
                <w:sz w:val="18"/>
              </w:rPr>
              <w:t>Revenue</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Gross profit</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EBITDA</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Net income</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Gross margin</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EBITDA margin</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r w:rsidR="007F2E02">
        <w:trPr>
          <w:jc w:val="center"/>
        </w:trPr>
        <w:tc>
          <w:tcPr>
            <w:tcW w:w="2494" w:type="dxa"/>
          </w:tcPr>
          <w:p w:rsidR="007F2E02" w:rsidRDefault="00ED2C2A">
            <w:pPr>
              <w:spacing w:after="0"/>
            </w:pPr>
            <w:r>
              <w:rPr>
                <w:b/>
                <w:sz w:val="18"/>
              </w:rPr>
              <w:t>Net margin</w:t>
            </w: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c>
          <w:tcPr>
            <w:tcW w:w="1134" w:type="dxa"/>
          </w:tcPr>
          <w:p w:rsidR="007F2E02" w:rsidRDefault="007F2E02">
            <w:pPr>
              <w:spacing w:after="0"/>
              <w:jc w:val="right"/>
            </w:pPr>
          </w:p>
        </w:tc>
      </w:tr>
    </w:tbl>
    <w:p w:rsidR="007F2E02" w:rsidRDefault="007F2E02">
      <w:pPr>
        <w:spacing w:after="40"/>
      </w:pPr>
    </w:p>
    <w:p w:rsidR="007F2E02" w:rsidRDefault="00ED2C2A">
      <w:r>
        <w:rPr>
          <w:color w:val="6B6459"/>
          <w:sz w:val="19"/>
        </w:rPr>
        <w:t>Chart: revenue by year with EBITDA margin on the second axis.</w:t>
      </w:r>
    </w:p>
    <w:p w:rsidR="007F2E02" w:rsidRDefault="00ED2C2A">
      <w:pPr>
        <w:pStyle w:val="Heading2"/>
      </w:pPr>
      <w:r>
        <w:t>14.2 Projected income statement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061"/>
        <w:gridCol w:w="1247"/>
        <w:gridCol w:w="1247"/>
        <w:gridCol w:w="1247"/>
        <w:gridCol w:w="1247"/>
        <w:gridCol w:w="1247"/>
      </w:tblGrid>
      <w:tr w:rsidR="007F2E02">
        <w:trPr>
          <w:cantSplit/>
          <w:tblHeader/>
          <w:jc w:val="center"/>
        </w:trPr>
        <w:tc>
          <w:tcPr>
            <w:tcW w:w="3061" w:type="dxa"/>
            <w:shd w:val="clear" w:color="auto" w:fill="1C3A2F"/>
          </w:tcPr>
          <w:p w:rsidR="007F2E02" w:rsidRDefault="007F2E02">
            <w:pPr>
              <w:keepNext/>
            </w:pPr>
          </w:p>
        </w:tc>
        <w:tc>
          <w:tcPr>
            <w:tcW w:w="1247" w:type="dxa"/>
            <w:shd w:val="clear" w:color="auto" w:fill="1C3A2F"/>
          </w:tcPr>
          <w:p w:rsidR="007F2E02" w:rsidRDefault="00ED2C2A">
            <w:pPr>
              <w:keepNext/>
              <w:jc w:val="right"/>
            </w:pPr>
            <w:r>
              <w:rPr>
                <w:b/>
                <w:color w:val="FAF7F2"/>
                <w:sz w:val="18"/>
              </w:rPr>
              <w:t>Year 1</w:t>
            </w:r>
          </w:p>
        </w:tc>
        <w:tc>
          <w:tcPr>
            <w:tcW w:w="1247" w:type="dxa"/>
            <w:shd w:val="clear" w:color="auto" w:fill="1C3A2F"/>
          </w:tcPr>
          <w:p w:rsidR="007F2E02" w:rsidRDefault="00ED2C2A">
            <w:pPr>
              <w:keepNext/>
              <w:jc w:val="right"/>
            </w:pPr>
            <w:r>
              <w:rPr>
                <w:b/>
                <w:color w:val="FAF7F2"/>
                <w:sz w:val="18"/>
              </w:rPr>
              <w:t>Year 2</w:t>
            </w:r>
          </w:p>
        </w:tc>
        <w:tc>
          <w:tcPr>
            <w:tcW w:w="1247" w:type="dxa"/>
            <w:shd w:val="clear" w:color="auto" w:fill="1C3A2F"/>
          </w:tcPr>
          <w:p w:rsidR="007F2E02" w:rsidRDefault="00ED2C2A">
            <w:pPr>
              <w:keepNext/>
              <w:jc w:val="right"/>
            </w:pPr>
            <w:r>
              <w:rPr>
                <w:b/>
                <w:color w:val="FAF7F2"/>
                <w:sz w:val="18"/>
              </w:rPr>
              <w:t>Year 3</w:t>
            </w:r>
          </w:p>
        </w:tc>
        <w:tc>
          <w:tcPr>
            <w:tcW w:w="1247" w:type="dxa"/>
            <w:shd w:val="clear" w:color="auto" w:fill="1C3A2F"/>
          </w:tcPr>
          <w:p w:rsidR="007F2E02" w:rsidRDefault="00ED2C2A">
            <w:pPr>
              <w:keepNext/>
              <w:jc w:val="right"/>
            </w:pPr>
            <w:r>
              <w:rPr>
                <w:b/>
                <w:color w:val="FAF7F2"/>
                <w:sz w:val="18"/>
              </w:rPr>
              <w:t>Year 4</w:t>
            </w:r>
          </w:p>
        </w:tc>
        <w:tc>
          <w:tcPr>
            <w:tcW w:w="1247" w:type="dxa"/>
            <w:shd w:val="clear" w:color="auto" w:fill="1C3A2F"/>
          </w:tcPr>
          <w:p w:rsidR="007F2E02" w:rsidRDefault="00ED2C2A">
            <w:pPr>
              <w:keepNext/>
              <w:jc w:val="right"/>
            </w:pPr>
            <w:r>
              <w:rPr>
                <w:b/>
                <w:color w:val="FAF7F2"/>
                <w:sz w:val="18"/>
              </w:rPr>
              <w:t>Year 5</w:t>
            </w:r>
          </w:p>
        </w:tc>
      </w:tr>
      <w:tr w:rsidR="007F2E02">
        <w:trPr>
          <w:jc w:val="center"/>
        </w:trPr>
        <w:tc>
          <w:tcPr>
            <w:tcW w:w="3061" w:type="dxa"/>
          </w:tcPr>
          <w:p w:rsidR="007F2E02" w:rsidRDefault="00ED2C2A">
            <w:pPr>
              <w:spacing w:after="0"/>
            </w:pPr>
            <w:r>
              <w:rPr>
                <w:b/>
                <w:sz w:val="18"/>
              </w:rPr>
              <w:t>Revenue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 xml:space="preserve">  Year-on-year growth</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Cost of goods sold</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 xml:space="preserve">  Gross margin %</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Labour costs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lastRenderedPageBreak/>
              <w:t>SG&amp;A (excluding labour)</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EBITDA</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 xml:space="preserve">  EBITDA margin</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Depreciation</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Interest expense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Income tax</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Net income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bl>
    <w:p w:rsidR="007F2E02" w:rsidRDefault="007F2E02">
      <w:pPr>
        <w:spacing w:after="40"/>
      </w:pPr>
    </w:p>
    <w:p w:rsidR="007F2E02" w:rsidRDefault="00ED2C2A">
      <w:r>
        <w:rPr>
          <w:color w:val="6B6459"/>
          <w:sz w:val="19"/>
        </w:rPr>
        <w:t>It must add down, line by line, in every column.</w:t>
      </w:r>
    </w:p>
    <w:p w:rsidR="007F2E02" w:rsidRDefault="00ED2C2A">
      <w:pPr>
        <w:pStyle w:val="Heading2"/>
      </w:pPr>
      <w:r>
        <w:t>14.3 Projected cash</w:t>
      </w:r>
      <w:r>
        <w:t xml:space="preserve"> flow</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061"/>
        <w:gridCol w:w="1247"/>
        <w:gridCol w:w="1247"/>
        <w:gridCol w:w="1247"/>
        <w:gridCol w:w="1247"/>
        <w:gridCol w:w="1247"/>
      </w:tblGrid>
      <w:tr w:rsidR="007F2E02">
        <w:trPr>
          <w:cantSplit/>
          <w:tblHeader/>
          <w:jc w:val="center"/>
        </w:trPr>
        <w:tc>
          <w:tcPr>
            <w:tcW w:w="3061" w:type="dxa"/>
            <w:shd w:val="clear" w:color="auto" w:fill="1C3A2F"/>
          </w:tcPr>
          <w:p w:rsidR="007F2E02" w:rsidRDefault="007F2E02">
            <w:pPr>
              <w:keepNext/>
            </w:pPr>
          </w:p>
        </w:tc>
        <w:tc>
          <w:tcPr>
            <w:tcW w:w="1247" w:type="dxa"/>
            <w:shd w:val="clear" w:color="auto" w:fill="1C3A2F"/>
          </w:tcPr>
          <w:p w:rsidR="007F2E02" w:rsidRDefault="00ED2C2A">
            <w:pPr>
              <w:keepNext/>
              <w:jc w:val="right"/>
            </w:pPr>
            <w:r>
              <w:rPr>
                <w:b/>
                <w:color w:val="FAF7F2"/>
                <w:sz w:val="18"/>
              </w:rPr>
              <w:t>Year 1</w:t>
            </w:r>
          </w:p>
        </w:tc>
        <w:tc>
          <w:tcPr>
            <w:tcW w:w="1247" w:type="dxa"/>
            <w:shd w:val="clear" w:color="auto" w:fill="1C3A2F"/>
          </w:tcPr>
          <w:p w:rsidR="007F2E02" w:rsidRDefault="00ED2C2A">
            <w:pPr>
              <w:keepNext/>
              <w:jc w:val="right"/>
            </w:pPr>
            <w:r>
              <w:rPr>
                <w:b/>
                <w:color w:val="FAF7F2"/>
                <w:sz w:val="18"/>
              </w:rPr>
              <w:t>Year 2</w:t>
            </w:r>
          </w:p>
        </w:tc>
        <w:tc>
          <w:tcPr>
            <w:tcW w:w="1247" w:type="dxa"/>
            <w:shd w:val="clear" w:color="auto" w:fill="1C3A2F"/>
          </w:tcPr>
          <w:p w:rsidR="007F2E02" w:rsidRDefault="00ED2C2A">
            <w:pPr>
              <w:keepNext/>
              <w:jc w:val="right"/>
            </w:pPr>
            <w:r>
              <w:rPr>
                <w:b/>
                <w:color w:val="FAF7F2"/>
                <w:sz w:val="18"/>
              </w:rPr>
              <w:t>Year 3</w:t>
            </w:r>
          </w:p>
        </w:tc>
        <w:tc>
          <w:tcPr>
            <w:tcW w:w="1247" w:type="dxa"/>
            <w:shd w:val="clear" w:color="auto" w:fill="1C3A2F"/>
          </w:tcPr>
          <w:p w:rsidR="007F2E02" w:rsidRDefault="00ED2C2A">
            <w:pPr>
              <w:keepNext/>
              <w:jc w:val="right"/>
            </w:pPr>
            <w:r>
              <w:rPr>
                <w:b/>
                <w:color w:val="FAF7F2"/>
                <w:sz w:val="18"/>
              </w:rPr>
              <w:t>Year 4</w:t>
            </w:r>
          </w:p>
        </w:tc>
        <w:tc>
          <w:tcPr>
            <w:tcW w:w="1247" w:type="dxa"/>
            <w:shd w:val="clear" w:color="auto" w:fill="1C3A2F"/>
          </w:tcPr>
          <w:p w:rsidR="007F2E02" w:rsidRDefault="00ED2C2A">
            <w:pPr>
              <w:keepNext/>
              <w:jc w:val="right"/>
            </w:pPr>
            <w:r>
              <w:rPr>
                <w:b/>
                <w:color w:val="FAF7F2"/>
                <w:sz w:val="18"/>
              </w:rPr>
              <w:t>Year 5</w:t>
            </w:r>
          </w:p>
        </w:tc>
      </w:tr>
      <w:tr w:rsidR="007F2E02">
        <w:trPr>
          <w:jc w:val="center"/>
        </w:trPr>
        <w:tc>
          <w:tcPr>
            <w:tcW w:w="3061" w:type="dxa"/>
          </w:tcPr>
          <w:p w:rsidR="007F2E02" w:rsidRDefault="00ED2C2A">
            <w:pPr>
              <w:spacing w:after="0"/>
            </w:pPr>
            <w:r>
              <w:rPr>
                <w:b/>
                <w:sz w:val="18"/>
              </w:rPr>
              <w:t>Net income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Depreciation</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Change in working capital</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Cash from operations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Capital expenditure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Cash from investing</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Loan proceeds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Principal repayments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 xml:space="preserve">Revolving line </w:t>
            </w:r>
            <w:r>
              <w:rPr>
                <w:b/>
                <w:sz w:val="18"/>
              </w:rPr>
              <w:t>(net)</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Equity contribution</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Cash from financing</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Net change in cash</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Opening cash</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Closing cash</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bl>
    <w:p w:rsidR="007F2E02" w:rsidRDefault="007F2E02">
      <w:pPr>
        <w:spacing w:after="40"/>
      </w:pPr>
    </w:p>
    <w:p w:rsidR="007F2E02" w:rsidRDefault="00ED2C2A">
      <w:r>
        <w:rPr>
          <w:color w:val="6B6459"/>
          <w:sz w:val="19"/>
        </w:rPr>
        <w:t>Chart: closing cash, sixty months, with revolving-line use. State the cash trough and its month.</w:t>
      </w:r>
    </w:p>
    <w:p w:rsidR="007F2E02" w:rsidRDefault="00ED2C2A">
      <w:pPr>
        <w:pStyle w:val="Heading2"/>
      </w:pPr>
      <w:r>
        <w:t>14.4 Projected balance sheet</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061"/>
        <w:gridCol w:w="1247"/>
        <w:gridCol w:w="1247"/>
        <w:gridCol w:w="1247"/>
        <w:gridCol w:w="1247"/>
        <w:gridCol w:w="1247"/>
      </w:tblGrid>
      <w:tr w:rsidR="007F2E02">
        <w:trPr>
          <w:cantSplit/>
          <w:tblHeader/>
          <w:jc w:val="center"/>
        </w:trPr>
        <w:tc>
          <w:tcPr>
            <w:tcW w:w="3061" w:type="dxa"/>
            <w:shd w:val="clear" w:color="auto" w:fill="1C3A2F"/>
          </w:tcPr>
          <w:p w:rsidR="007F2E02" w:rsidRDefault="007F2E02">
            <w:pPr>
              <w:keepNext/>
            </w:pPr>
          </w:p>
        </w:tc>
        <w:tc>
          <w:tcPr>
            <w:tcW w:w="1247" w:type="dxa"/>
            <w:shd w:val="clear" w:color="auto" w:fill="1C3A2F"/>
          </w:tcPr>
          <w:p w:rsidR="007F2E02" w:rsidRDefault="00ED2C2A">
            <w:pPr>
              <w:keepNext/>
              <w:jc w:val="right"/>
            </w:pPr>
            <w:r>
              <w:rPr>
                <w:b/>
                <w:color w:val="FAF7F2"/>
                <w:sz w:val="18"/>
              </w:rPr>
              <w:t>Year 1</w:t>
            </w:r>
          </w:p>
        </w:tc>
        <w:tc>
          <w:tcPr>
            <w:tcW w:w="1247" w:type="dxa"/>
            <w:shd w:val="clear" w:color="auto" w:fill="1C3A2F"/>
          </w:tcPr>
          <w:p w:rsidR="007F2E02" w:rsidRDefault="00ED2C2A">
            <w:pPr>
              <w:keepNext/>
              <w:jc w:val="right"/>
            </w:pPr>
            <w:r>
              <w:rPr>
                <w:b/>
                <w:color w:val="FAF7F2"/>
                <w:sz w:val="18"/>
              </w:rPr>
              <w:t>Year 2</w:t>
            </w:r>
          </w:p>
        </w:tc>
        <w:tc>
          <w:tcPr>
            <w:tcW w:w="1247" w:type="dxa"/>
            <w:shd w:val="clear" w:color="auto" w:fill="1C3A2F"/>
          </w:tcPr>
          <w:p w:rsidR="007F2E02" w:rsidRDefault="00ED2C2A">
            <w:pPr>
              <w:keepNext/>
              <w:jc w:val="right"/>
            </w:pPr>
            <w:r>
              <w:rPr>
                <w:b/>
                <w:color w:val="FAF7F2"/>
                <w:sz w:val="18"/>
              </w:rPr>
              <w:t>Year 3</w:t>
            </w:r>
          </w:p>
        </w:tc>
        <w:tc>
          <w:tcPr>
            <w:tcW w:w="1247" w:type="dxa"/>
            <w:shd w:val="clear" w:color="auto" w:fill="1C3A2F"/>
          </w:tcPr>
          <w:p w:rsidR="007F2E02" w:rsidRDefault="00ED2C2A">
            <w:pPr>
              <w:keepNext/>
              <w:jc w:val="right"/>
            </w:pPr>
            <w:r>
              <w:rPr>
                <w:b/>
                <w:color w:val="FAF7F2"/>
                <w:sz w:val="18"/>
              </w:rPr>
              <w:t>Year 4</w:t>
            </w:r>
          </w:p>
        </w:tc>
        <w:tc>
          <w:tcPr>
            <w:tcW w:w="1247" w:type="dxa"/>
            <w:shd w:val="clear" w:color="auto" w:fill="1C3A2F"/>
          </w:tcPr>
          <w:p w:rsidR="007F2E02" w:rsidRDefault="00ED2C2A">
            <w:pPr>
              <w:keepNext/>
              <w:jc w:val="right"/>
            </w:pPr>
            <w:r>
              <w:rPr>
                <w:b/>
                <w:color w:val="FAF7F2"/>
                <w:sz w:val="18"/>
              </w:rPr>
              <w:t>Year 5</w:t>
            </w:r>
          </w:p>
        </w:tc>
      </w:tr>
      <w:tr w:rsidR="007F2E02">
        <w:trPr>
          <w:jc w:val="center"/>
        </w:trPr>
        <w:tc>
          <w:tcPr>
            <w:tcW w:w="3061" w:type="dxa"/>
          </w:tcPr>
          <w:p w:rsidR="007F2E02" w:rsidRDefault="00ED2C2A">
            <w:pPr>
              <w:spacing w:after="0"/>
            </w:pPr>
            <w:r>
              <w:rPr>
                <w:b/>
                <w:sz w:val="18"/>
              </w:rPr>
              <w:t>Cash</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Accounts receivable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Inventory</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lastRenderedPageBreak/>
              <w:t>Net PPE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Total assets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Accounts payable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Term loan</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Revolving line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Total liabilities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Contributed equity</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Retained earnings</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Total equity</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Total liabilities and equity</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Check (assets − liabilities − equity)</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bl>
    <w:p w:rsidR="007F2E02" w:rsidRDefault="007F2E02">
      <w:pPr>
        <w:spacing w:after="40"/>
      </w:pPr>
    </w:p>
    <w:p w:rsidR="007F2E02" w:rsidRDefault="00ED2C2A">
      <w:r>
        <w:rPr>
          <w:color w:val="6B6459"/>
          <w:sz w:val="19"/>
        </w:rPr>
        <w:t>It balances in every year, and the check is shown, not assumed.</w:t>
      </w:r>
    </w:p>
    <w:p w:rsidR="007F2E02" w:rsidRDefault="00ED2C2A">
      <w:pPr>
        <w:pStyle w:val="Heading2"/>
      </w:pPr>
      <w:r>
        <w:t>14.5 Debt service coverage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361"/>
        <w:gridCol w:w="1984"/>
        <w:gridCol w:w="1984"/>
        <w:gridCol w:w="1417"/>
        <w:gridCol w:w="2551"/>
      </w:tblGrid>
      <w:tr w:rsidR="007F2E02">
        <w:trPr>
          <w:cantSplit/>
          <w:tblHeader/>
          <w:jc w:val="center"/>
        </w:trPr>
        <w:tc>
          <w:tcPr>
            <w:tcW w:w="1361" w:type="dxa"/>
            <w:shd w:val="clear" w:color="auto" w:fill="1C3A2F"/>
          </w:tcPr>
          <w:p w:rsidR="007F2E02" w:rsidRDefault="00ED2C2A">
            <w:pPr>
              <w:keepNext/>
            </w:pPr>
            <w:r>
              <w:rPr>
                <w:b/>
                <w:color w:val="FAF7F2"/>
                <w:sz w:val="18"/>
              </w:rPr>
              <w:t>Year</w:t>
            </w:r>
          </w:p>
        </w:tc>
        <w:tc>
          <w:tcPr>
            <w:tcW w:w="1984" w:type="dxa"/>
            <w:shd w:val="clear" w:color="auto" w:fill="1C3A2F"/>
          </w:tcPr>
          <w:p w:rsidR="007F2E02" w:rsidRDefault="00ED2C2A">
            <w:pPr>
              <w:keepNext/>
              <w:jc w:val="right"/>
            </w:pPr>
            <w:r>
              <w:rPr>
                <w:b/>
                <w:color w:val="FAF7F2"/>
                <w:sz w:val="18"/>
              </w:rPr>
              <w:t>EBITDA</w:t>
            </w:r>
          </w:p>
        </w:tc>
        <w:tc>
          <w:tcPr>
            <w:tcW w:w="1984" w:type="dxa"/>
            <w:shd w:val="clear" w:color="auto" w:fill="1C3A2F"/>
          </w:tcPr>
          <w:p w:rsidR="007F2E02" w:rsidRDefault="00ED2C2A">
            <w:pPr>
              <w:keepNext/>
              <w:jc w:val="right"/>
            </w:pPr>
            <w:r>
              <w:rPr>
                <w:b/>
                <w:color w:val="FAF7F2"/>
                <w:sz w:val="18"/>
              </w:rPr>
              <w:t>Debt service</w:t>
            </w:r>
          </w:p>
        </w:tc>
        <w:tc>
          <w:tcPr>
            <w:tcW w:w="1417" w:type="dxa"/>
            <w:shd w:val="clear" w:color="auto" w:fill="1C3A2F"/>
          </w:tcPr>
          <w:p w:rsidR="007F2E02" w:rsidRDefault="00ED2C2A">
            <w:pPr>
              <w:keepNext/>
              <w:jc w:val="right"/>
            </w:pPr>
            <w:r>
              <w:rPr>
                <w:b/>
                <w:color w:val="FAF7F2"/>
                <w:sz w:val="18"/>
              </w:rPr>
              <w:t>DSCR</w:t>
            </w:r>
          </w:p>
        </w:tc>
        <w:tc>
          <w:tcPr>
            <w:tcW w:w="2551" w:type="dxa"/>
            <w:shd w:val="clear" w:color="auto" w:fill="1C3A2F"/>
          </w:tcPr>
          <w:p w:rsidR="007F2E02" w:rsidRDefault="00ED2C2A">
            <w:pPr>
              <w:keepNext/>
              <w:jc w:val="right"/>
            </w:pPr>
            <w:r>
              <w:rPr>
                <w:b/>
                <w:color w:val="FAF7F2"/>
                <w:sz w:val="18"/>
              </w:rPr>
              <w:t>Status vs {covenant}</w:t>
            </w:r>
          </w:p>
        </w:tc>
      </w:tr>
      <w:tr w:rsidR="007F2E02">
        <w:trPr>
          <w:jc w:val="center"/>
        </w:trPr>
        <w:tc>
          <w:tcPr>
            <w:tcW w:w="1361" w:type="dxa"/>
          </w:tcPr>
          <w:p w:rsidR="007F2E02" w:rsidRDefault="00ED2C2A">
            <w:pPr>
              <w:spacing w:after="0"/>
            </w:pPr>
            <w:r>
              <w:rPr>
                <w:sz w:val="18"/>
              </w:rPr>
              <w:t>Year 1</w:t>
            </w:r>
          </w:p>
        </w:tc>
        <w:tc>
          <w:tcPr>
            <w:tcW w:w="1984" w:type="dxa"/>
          </w:tcPr>
          <w:p w:rsidR="007F2E02" w:rsidRDefault="007F2E02">
            <w:pPr>
              <w:spacing w:after="0"/>
              <w:jc w:val="right"/>
            </w:pPr>
          </w:p>
        </w:tc>
        <w:tc>
          <w:tcPr>
            <w:tcW w:w="1984" w:type="dxa"/>
          </w:tcPr>
          <w:p w:rsidR="007F2E02" w:rsidRDefault="007F2E02">
            <w:pPr>
              <w:spacing w:after="0"/>
              <w:jc w:val="right"/>
            </w:pPr>
          </w:p>
        </w:tc>
        <w:tc>
          <w:tcPr>
            <w:tcW w:w="1417" w:type="dxa"/>
          </w:tcPr>
          <w:p w:rsidR="007F2E02" w:rsidRDefault="007F2E02">
            <w:pPr>
              <w:spacing w:after="0"/>
              <w:jc w:val="right"/>
            </w:pPr>
          </w:p>
        </w:tc>
        <w:tc>
          <w:tcPr>
            <w:tcW w:w="2551" w:type="dxa"/>
          </w:tcPr>
          <w:p w:rsidR="007F2E02" w:rsidRDefault="007F2E02">
            <w:pPr>
              <w:spacing w:after="0"/>
              <w:jc w:val="right"/>
            </w:pPr>
          </w:p>
        </w:tc>
      </w:tr>
      <w:tr w:rsidR="007F2E02">
        <w:trPr>
          <w:jc w:val="center"/>
        </w:trPr>
        <w:tc>
          <w:tcPr>
            <w:tcW w:w="1361" w:type="dxa"/>
          </w:tcPr>
          <w:p w:rsidR="007F2E02" w:rsidRDefault="00ED2C2A">
            <w:pPr>
              <w:spacing w:after="0"/>
            </w:pPr>
            <w:r>
              <w:rPr>
                <w:sz w:val="18"/>
              </w:rPr>
              <w:t>Year 2</w:t>
            </w:r>
          </w:p>
        </w:tc>
        <w:tc>
          <w:tcPr>
            <w:tcW w:w="1984" w:type="dxa"/>
          </w:tcPr>
          <w:p w:rsidR="007F2E02" w:rsidRDefault="007F2E02">
            <w:pPr>
              <w:spacing w:after="0"/>
              <w:jc w:val="right"/>
            </w:pPr>
          </w:p>
        </w:tc>
        <w:tc>
          <w:tcPr>
            <w:tcW w:w="1984" w:type="dxa"/>
          </w:tcPr>
          <w:p w:rsidR="007F2E02" w:rsidRDefault="007F2E02">
            <w:pPr>
              <w:spacing w:after="0"/>
              <w:jc w:val="right"/>
            </w:pPr>
          </w:p>
        </w:tc>
        <w:tc>
          <w:tcPr>
            <w:tcW w:w="1417" w:type="dxa"/>
          </w:tcPr>
          <w:p w:rsidR="007F2E02" w:rsidRDefault="007F2E02">
            <w:pPr>
              <w:spacing w:after="0"/>
              <w:jc w:val="right"/>
            </w:pPr>
          </w:p>
        </w:tc>
        <w:tc>
          <w:tcPr>
            <w:tcW w:w="2551" w:type="dxa"/>
          </w:tcPr>
          <w:p w:rsidR="007F2E02" w:rsidRDefault="007F2E02">
            <w:pPr>
              <w:spacing w:after="0"/>
              <w:jc w:val="right"/>
            </w:pPr>
          </w:p>
        </w:tc>
      </w:tr>
      <w:tr w:rsidR="007F2E02">
        <w:trPr>
          <w:jc w:val="center"/>
        </w:trPr>
        <w:tc>
          <w:tcPr>
            <w:tcW w:w="1361" w:type="dxa"/>
          </w:tcPr>
          <w:p w:rsidR="007F2E02" w:rsidRDefault="00ED2C2A">
            <w:pPr>
              <w:spacing w:after="0"/>
            </w:pPr>
            <w:r>
              <w:rPr>
                <w:sz w:val="18"/>
              </w:rPr>
              <w:t>Year 3</w:t>
            </w:r>
          </w:p>
        </w:tc>
        <w:tc>
          <w:tcPr>
            <w:tcW w:w="1984" w:type="dxa"/>
          </w:tcPr>
          <w:p w:rsidR="007F2E02" w:rsidRDefault="007F2E02">
            <w:pPr>
              <w:spacing w:after="0"/>
              <w:jc w:val="right"/>
            </w:pPr>
          </w:p>
        </w:tc>
        <w:tc>
          <w:tcPr>
            <w:tcW w:w="1984" w:type="dxa"/>
          </w:tcPr>
          <w:p w:rsidR="007F2E02" w:rsidRDefault="007F2E02">
            <w:pPr>
              <w:spacing w:after="0"/>
              <w:jc w:val="right"/>
            </w:pPr>
          </w:p>
        </w:tc>
        <w:tc>
          <w:tcPr>
            <w:tcW w:w="1417" w:type="dxa"/>
          </w:tcPr>
          <w:p w:rsidR="007F2E02" w:rsidRDefault="007F2E02">
            <w:pPr>
              <w:spacing w:after="0"/>
              <w:jc w:val="right"/>
            </w:pPr>
          </w:p>
        </w:tc>
        <w:tc>
          <w:tcPr>
            <w:tcW w:w="2551" w:type="dxa"/>
          </w:tcPr>
          <w:p w:rsidR="007F2E02" w:rsidRDefault="007F2E02">
            <w:pPr>
              <w:spacing w:after="0"/>
              <w:jc w:val="right"/>
            </w:pPr>
          </w:p>
        </w:tc>
      </w:tr>
      <w:tr w:rsidR="007F2E02">
        <w:trPr>
          <w:jc w:val="center"/>
        </w:trPr>
        <w:tc>
          <w:tcPr>
            <w:tcW w:w="1361" w:type="dxa"/>
          </w:tcPr>
          <w:p w:rsidR="007F2E02" w:rsidRDefault="00ED2C2A">
            <w:pPr>
              <w:spacing w:after="0"/>
            </w:pPr>
            <w:r>
              <w:rPr>
                <w:sz w:val="18"/>
              </w:rPr>
              <w:t>Year 4</w:t>
            </w:r>
          </w:p>
        </w:tc>
        <w:tc>
          <w:tcPr>
            <w:tcW w:w="1984" w:type="dxa"/>
          </w:tcPr>
          <w:p w:rsidR="007F2E02" w:rsidRDefault="007F2E02">
            <w:pPr>
              <w:spacing w:after="0"/>
              <w:jc w:val="right"/>
            </w:pPr>
          </w:p>
        </w:tc>
        <w:tc>
          <w:tcPr>
            <w:tcW w:w="1984" w:type="dxa"/>
          </w:tcPr>
          <w:p w:rsidR="007F2E02" w:rsidRDefault="007F2E02">
            <w:pPr>
              <w:spacing w:after="0"/>
              <w:jc w:val="right"/>
            </w:pPr>
          </w:p>
        </w:tc>
        <w:tc>
          <w:tcPr>
            <w:tcW w:w="1417" w:type="dxa"/>
          </w:tcPr>
          <w:p w:rsidR="007F2E02" w:rsidRDefault="007F2E02">
            <w:pPr>
              <w:spacing w:after="0"/>
              <w:jc w:val="right"/>
            </w:pPr>
          </w:p>
        </w:tc>
        <w:tc>
          <w:tcPr>
            <w:tcW w:w="2551" w:type="dxa"/>
          </w:tcPr>
          <w:p w:rsidR="007F2E02" w:rsidRDefault="007F2E02">
            <w:pPr>
              <w:spacing w:after="0"/>
              <w:jc w:val="right"/>
            </w:pPr>
          </w:p>
        </w:tc>
      </w:tr>
      <w:tr w:rsidR="007F2E02">
        <w:trPr>
          <w:jc w:val="center"/>
        </w:trPr>
        <w:tc>
          <w:tcPr>
            <w:tcW w:w="1361" w:type="dxa"/>
          </w:tcPr>
          <w:p w:rsidR="007F2E02" w:rsidRDefault="00ED2C2A">
            <w:pPr>
              <w:spacing w:after="0"/>
            </w:pPr>
            <w:r>
              <w:rPr>
                <w:sz w:val="18"/>
              </w:rPr>
              <w:t>Year 5</w:t>
            </w:r>
          </w:p>
        </w:tc>
        <w:tc>
          <w:tcPr>
            <w:tcW w:w="1984" w:type="dxa"/>
          </w:tcPr>
          <w:p w:rsidR="007F2E02" w:rsidRDefault="007F2E02">
            <w:pPr>
              <w:spacing w:after="0"/>
              <w:jc w:val="right"/>
            </w:pPr>
          </w:p>
        </w:tc>
        <w:tc>
          <w:tcPr>
            <w:tcW w:w="1984" w:type="dxa"/>
          </w:tcPr>
          <w:p w:rsidR="007F2E02" w:rsidRDefault="007F2E02">
            <w:pPr>
              <w:spacing w:after="0"/>
              <w:jc w:val="right"/>
            </w:pPr>
          </w:p>
        </w:tc>
        <w:tc>
          <w:tcPr>
            <w:tcW w:w="1417" w:type="dxa"/>
          </w:tcPr>
          <w:p w:rsidR="007F2E02" w:rsidRDefault="007F2E02">
            <w:pPr>
              <w:spacing w:after="0"/>
              <w:jc w:val="right"/>
            </w:pPr>
          </w:p>
        </w:tc>
        <w:tc>
          <w:tcPr>
            <w:tcW w:w="2551" w:type="dxa"/>
          </w:tcPr>
          <w:p w:rsidR="007F2E02" w:rsidRDefault="007F2E02">
            <w:pPr>
              <w:spacing w:after="0"/>
              <w:jc w:val="right"/>
            </w:pPr>
          </w:p>
        </w:tc>
      </w:tr>
    </w:tbl>
    <w:p w:rsidR="007F2E02" w:rsidRDefault="007F2E02">
      <w:pPr>
        <w:spacing w:after="40"/>
      </w:pPr>
    </w:p>
    <w:p w:rsidR="007F2E02" w:rsidRDefault="00ED2C2A">
      <w:r>
        <w:rPr>
          <w:i/>
          <w:color w:val="6B6459"/>
        </w:rPr>
        <w:t>{Assessment: headroom in words, and what debt service includes – every facility, not only the term loan.}</w:t>
      </w:r>
    </w:p>
    <w:p w:rsidR="007F2E02" w:rsidRDefault="00ED2C2A">
      <w:pPr>
        <w:pStyle w:val="Heading3"/>
      </w:pPr>
      <w:r>
        <w:t>14.5.1 Owner compensation sensitivity</w:t>
      </w:r>
    </w:p>
    <w:p w:rsidR="007F2E02" w:rsidRDefault="00ED2C2A">
      <w:r>
        <w:t>The coverage ratios above are calculated on EBITDA as modelled,</w:t>
      </w:r>
      <w:r>
        <w:t xml:space="preserve"> which assumes the founders draw no salary and contribute {n} FTE of unpaid labour. Because a lender will test whether the business can service its debt and compensate its owners, the table below restates coverage on two further bases.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061"/>
        <w:gridCol w:w="1247"/>
        <w:gridCol w:w="1247"/>
        <w:gridCol w:w="1247"/>
        <w:gridCol w:w="1247"/>
        <w:gridCol w:w="1247"/>
      </w:tblGrid>
      <w:tr w:rsidR="007F2E02">
        <w:trPr>
          <w:cantSplit/>
          <w:tblHeader/>
          <w:jc w:val="center"/>
        </w:trPr>
        <w:tc>
          <w:tcPr>
            <w:tcW w:w="3061" w:type="dxa"/>
            <w:shd w:val="clear" w:color="auto" w:fill="1C3A2F"/>
          </w:tcPr>
          <w:p w:rsidR="007F2E02" w:rsidRDefault="00ED2C2A">
            <w:pPr>
              <w:keepNext/>
            </w:pPr>
            <w:r>
              <w:rPr>
                <w:b/>
                <w:color w:val="FAF7F2"/>
                <w:sz w:val="18"/>
              </w:rPr>
              <w:t>Basis</w:t>
            </w:r>
          </w:p>
        </w:tc>
        <w:tc>
          <w:tcPr>
            <w:tcW w:w="1247" w:type="dxa"/>
            <w:shd w:val="clear" w:color="auto" w:fill="1C3A2F"/>
          </w:tcPr>
          <w:p w:rsidR="007F2E02" w:rsidRDefault="00ED2C2A">
            <w:pPr>
              <w:keepNext/>
              <w:jc w:val="right"/>
            </w:pPr>
            <w:r>
              <w:rPr>
                <w:b/>
                <w:color w:val="FAF7F2"/>
                <w:sz w:val="18"/>
              </w:rPr>
              <w:t>Year 1</w:t>
            </w:r>
          </w:p>
        </w:tc>
        <w:tc>
          <w:tcPr>
            <w:tcW w:w="1247" w:type="dxa"/>
            <w:shd w:val="clear" w:color="auto" w:fill="1C3A2F"/>
          </w:tcPr>
          <w:p w:rsidR="007F2E02" w:rsidRDefault="00ED2C2A">
            <w:pPr>
              <w:keepNext/>
              <w:jc w:val="right"/>
            </w:pPr>
            <w:r>
              <w:rPr>
                <w:b/>
                <w:color w:val="FAF7F2"/>
                <w:sz w:val="18"/>
              </w:rPr>
              <w:t>Year 2</w:t>
            </w:r>
          </w:p>
        </w:tc>
        <w:tc>
          <w:tcPr>
            <w:tcW w:w="1247" w:type="dxa"/>
            <w:shd w:val="clear" w:color="auto" w:fill="1C3A2F"/>
          </w:tcPr>
          <w:p w:rsidR="007F2E02" w:rsidRDefault="00ED2C2A">
            <w:pPr>
              <w:keepNext/>
              <w:jc w:val="right"/>
            </w:pPr>
            <w:r>
              <w:rPr>
                <w:b/>
                <w:color w:val="FAF7F2"/>
                <w:sz w:val="18"/>
              </w:rPr>
              <w:t>Year 3</w:t>
            </w:r>
          </w:p>
        </w:tc>
        <w:tc>
          <w:tcPr>
            <w:tcW w:w="1247" w:type="dxa"/>
            <w:shd w:val="clear" w:color="auto" w:fill="1C3A2F"/>
          </w:tcPr>
          <w:p w:rsidR="007F2E02" w:rsidRDefault="00ED2C2A">
            <w:pPr>
              <w:keepNext/>
              <w:jc w:val="right"/>
            </w:pPr>
            <w:r>
              <w:rPr>
                <w:b/>
                <w:color w:val="FAF7F2"/>
                <w:sz w:val="18"/>
              </w:rPr>
              <w:t>Year 4</w:t>
            </w:r>
          </w:p>
        </w:tc>
        <w:tc>
          <w:tcPr>
            <w:tcW w:w="1247" w:type="dxa"/>
            <w:shd w:val="clear" w:color="auto" w:fill="1C3A2F"/>
          </w:tcPr>
          <w:p w:rsidR="007F2E02" w:rsidRDefault="00ED2C2A">
            <w:pPr>
              <w:keepNext/>
              <w:jc w:val="right"/>
            </w:pPr>
            <w:r>
              <w:rPr>
                <w:b/>
                <w:color w:val="FAF7F2"/>
                <w:sz w:val="18"/>
              </w:rPr>
              <w:t>Year 5</w:t>
            </w:r>
          </w:p>
        </w:tc>
      </w:tr>
      <w:tr w:rsidR="007F2E02">
        <w:trPr>
          <w:jc w:val="center"/>
        </w:trPr>
        <w:tc>
          <w:tcPr>
            <w:tcW w:w="3061" w:type="dxa"/>
          </w:tcPr>
          <w:p w:rsidR="007F2E02" w:rsidRDefault="00ED2C2A">
            <w:pPr>
              <w:spacing w:after="0"/>
            </w:pPr>
            <w:r>
              <w:rPr>
                <w:b/>
                <w:sz w:val="18"/>
              </w:rPr>
              <w:t>As modelled</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Less replacement labour at market wage</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r w:rsidR="007F2E02">
        <w:trPr>
          <w:jc w:val="center"/>
        </w:trPr>
        <w:tc>
          <w:tcPr>
            <w:tcW w:w="3061" w:type="dxa"/>
          </w:tcPr>
          <w:p w:rsidR="007F2E02" w:rsidRDefault="00ED2C2A">
            <w:pPr>
              <w:spacing w:after="0"/>
            </w:pPr>
            <w:r>
              <w:rPr>
                <w:b/>
                <w:sz w:val="18"/>
              </w:rPr>
              <w:t>Less a market-level owner draw</w:t>
            </w: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c>
          <w:tcPr>
            <w:tcW w:w="1247" w:type="dxa"/>
          </w:tcPr>
          <w:p w:rsidR="007F2E02" w:rsidRDefault="007F2E02">
            <w:pPr>
              <w:spacing w:after="0"/>
              <w:jc w:val="right"/>
            </w:pPr>
          </w:p>
        </w:tc>
      </w:tr>
    </w:tbl>
    <w:p w:rsidR="007F2E02" w:rsidRDefault="007F2E02">
      <w:pPr>
        <w:spacing w:after="40"/>
      </w:pPr>
    </w:p>
    <w:p w:rsidR="007F2E02" w:rsidRDefault="00ED2C2A">
      <w:r>
        <w:rPr>
          <w:color w:val="6B6459"/>
          <w:sz w:val="19"/>
        </w:rPr>
        <w:t>If any cell is below the covenant, say so, say why, and say what covers it.</w:t>
      </w:r>
    </w:p>
    <w:p w:rsidR="007F2E02" w:rsidRDefault="00ED2C2A">
      <w:pPr>
        <w:pStyle w:val="Heading3"/>
      </w:pPr>
      <w:r>
        <w:lastRenderedPageBreak/>
        <w:t>14.5.2 Downside scenario</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Purpose. </w:t>
            </w:r>
            <w:r>
              <w:rPr>
                <w:sz w:val="20"/>
              </w:rPr>
              <w:t xml:space="preserve">The plan names its own </w:t>
            </w:r>
            <w:r>
              <w:rPr>
                <w:sz w:val="20"/>
              </w:rPr>
              <w:t>breaking point. Labour and occupancy held fixed; cost of goods sold and commissions scale with revenue. The result is one number – how far revenue can fall before coverage reaches the covenant – and it goes into the executive summary.</w:t>
            </w: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Year-1 revenue vs p</w:t>
            </w:r>
            <w:r>
              <w:rPr>
                <w:b/>
                <w:color w:val="FAF7F2"/>
                <w:sz w:val="18"/>
              </w:rPr>
              <w:t>lan</w:t>
            </w:r>
          </w:p>
        </w:tc>
        <w:tc>
          <w:tcPr>
            <w:tcW w:w="1926" w:type="dxa"/>
            <w:shd w:val="clear" w:color="auto" w:fill="1C3A2F"/>
          </w:tcPr>
          <w:p w:rsidR="007F2E02" w:rsidRDefault="00ED2C2A">
            <w:pPr>
              <w:keepNext/>
              <w:jc w:val="right"/>
            </w:pPr>
            <w:r>
              <w:rPr>
                <w:b/>
                <w:color w:val="FAF7F2"/>
                <w:sz w:val="18"/>
              </w:rPr>
              <w:t>100%</w:t>
            </w:r>
          </w:p>
        </w:tc>
        <w:tc>
          <w:tcPr>
            <w:tcW w:w="1926" w:type="dxa"/>
            <w:shd w:val="clear" w:color="auto" w:fill="1C3A2F"/>
          </w:tcPr>
          <w:p w:rsidR="007F2E02" w:rsidRDefault="00ED2C2A">
            <w:pPr>
              <w:keepNext/>
              <w:jc w:val="right"/>
            </w:pPr>
            <w:r>
              <w:rPr>
                <w:b/>
                <w:color w:val="FAF7F2"/>
                <w:sz w:val="18"/>
              </w:rPr>
              <w:t>−</w:t>
            </w:r>
            <w:r>
              <w:rPr>
                <w:b/>
                <w:color w:val="FAF7F2"/>
                <w:sz w:val="18"/>
              </w:rPr>
              <w:t>10%</w:t>
            </w:r>
          </w:p>
        </w:tc>
        <w:tc>
          <w:tcPr>
            <w:tcW w:w="1926" w:type="dxa"/>
            <w:shd w:val="clear" w:color="auto" w:fill="1C3A2F"/>
          </w:tcPr>
          <w:p w:rsidR="007F2E02" w:rsidRDefault="00ED2C2A">
            <w:pPr>
              <w:keepNext/>
              <w:jc w:val="right"/>
            </w:pPr>
            <w:r>
              <w:rPr>
                <w:b/>
                <w:color w:val="FAF7F2"/>
                <w:sz w:val="18"/>
              </w:rPr>
              <w:t>−</w:t>
            </w:r>
            <w:r>
              <w:rPr>
                <w:b/>
                <w:color w:val="FAF7F2"/>
                <w:sz w:val="18"/>
              </w:rPr>
              <w:t>20%</w:t>
            </w:r>
          </w:p>
        </w:tc>
        <w:tc>
          <w:tcPr>
            <w:tcW w:w="1926" w:type="dxa"/>
            <w:shd w:val="clear" w:color="auto" w:fill="1C3A2F"/>
          </w:tcPr>
          <w:p w:rsidR="007F2E02" w:rsidRDefault="00ED2C2A">
            <w:pPr>
              <w:keepNext/>
              <w:jc w:val="right"/>
            </w:pPr>
            <w:r>
              <w:rPr>
                <w:b/>
                <w:color w:val="FAF7F2"/>
                <w:sz w:val="18"/>
              </w:rPr>
              <w:t>−</w:t>
            </w:r>
            <w:r>
              <w:rPr>
                <w:b/>
                <w:color w:val="FAF7F2"/>
                <w:sz w:val="18"/>
              </w:rPr>
              <w:t>{N}%</w:t>
            </w:r>
          </w:p>
        </w:tc>
      </w:tr>
      <w:tr w:rsidR="007F2E02">
        <w:trPr>
          <w:jc w:val="center"/>
        </w:trPr>
        <w:tc>
          <w:tcPr>
            <w:tcW w:w="1926" w:type="dxa"/>
          </w:tcPr>
          <w:p w:rsidR="007F2E02" w:rsidRDefault="00ED2C2A">
            <w:pPr>
              <w:spacing w:after="0"/>
            </w:pPr>
            <w:r>
              <w:rPr>
                <w:b/>
                <w:sz w:val="18"/>
              </w:rPr>
              <w:t>EBITDA</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b/>
                <w:sz w:val="18"/>
              </w:rPr>
              <w:t>Debt service</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ED2C2A">
            <w:pPr>
              <w:spacing w:after="0"/>
            </w:pPr>
            <w:r>
              <w:rPr>
                <w:b/>
                <w:sz w:val="18"/>
              </w:rPr>
              <w:t>DSCR</w:t>
            </w: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r>
        <w:rPr>
          <w:color w:val="6B6459"/>
          <w:sz w:val="19"/>
        </w:rPr>
        <w:t>'Revenue can fall {N}% below plan before the {covenant} covenant is breached.'</w:t>
      </w:r>
    </w:p>
    <w:p w:rsidR="007F2E02" w:rsidRDefault="00ED2C2A">
      <w:pPr>
        <w:pStyle w:val="Heading2"/>
      </w:pPr>
      <w:r>
        <w:t>14.6 Break-even analysis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819"/>
        <w:gridCol w:w="4252"/>
      </w:tblGrid>
      <w:tr w:rsidR="007F2E02">
        <w:trPr>
          <w:jc w:val="center"/>
        </w:trPr>
        <w:tc>
          <w:tcPr>
            <w:tcW w:w="4819" w:type="dxa"/>
            <w:shd w:val="clear" w:color="auto" w:fill="F0EBE1"/>
          </w:tcPr>
          <w:p w:rsidR="007F2E02" w:rsidRDefault="00ED2C2A">
            <w:pPr>
              <w:spacing w:after="0"/>
            </w:pPr>
            <w:r>
              <w:rPr>
                <w:sz w:val="19"/>
              </w:rPr>
              <w:t>Fixed operating costs, Year 1</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Contribution margin</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EBITDA break-even revenue</w:t>
            </w:r>
          </w:p>
        </w:tc>
        <w:tc>
          <w:tcPr>
            <w:tcW w:w="4252" w:type="dxa"/>
          </w:tcPr>
          <w:p w:rsidR="007F2E02" w:rsidRDefault="00ED2C2A">
            <w:pPr>
              <w:spacing w:after="0"/>
              <w:jc w:val="right"/>
            </w:pPr>
            <w:r>
              <w:rPr>
                <w:sz w:val="19"/>
              </w:rPr>
              <w:t>{$} · {units}</w:t>
            </w:r>
          </w:p>
        </w:tc>
      </w:tr>
      <w:tr w:rsidR="007F2E02">
        <w:trPr>
          <w:jc w:val="center"/>
        </w:trPr>
        <w:tc>
          <w:tcPr>
            <w:tcW w:w="4819" w:type="dxa"/>
            <w:shd w:val="clear" w:color="auto" w:fill="F0EBE1"/>
          </w:tcPr>
          <w:p w:rsidR="007F2E02" w:rsidRDefault="00ED2C2A">
            <w:pPr>
              <w:spacing w:after="0"/>
            </w:pPr>
            <w:r>
              <w:rPr>
                <w:sz w:val="19"/>
              </w:rPr>
              <w:t>Cash break-even revenue (fixed costs + debt service)</w:t>
            </w:r>
          </w:p>
        </w:tc>
        <w:tc>
          <w:tcPr>
            <w:tcW w:w="4252" w:type="dxa"/>
          </w:tcPr>
          <w:p w:rsidR="007F2E02" w:rsidRDefault="00ED2C2A">
            <w:pPr>
              <w:spacing w:after="0"/>
              <w:jc w:val="right"/>
            </w:pPr>
            <w:r>
              <w:rPr>
                <w:sz w:val="19"/>
              </w:rPr>
              <w:t>{$} · {units}</w:t>
            </w:r>
          </w:p>
        </w:tc>
      </w:tr>
      <w:tr w:rsidR="007F2E02">
        <w:trPr>
          <w:jc w:val="center"/>
        </w:trPr>
        <w:tc>
          <w:tcPr>
            <w:tcW w:w="4819" w:type="dxa"/>
            <w:shd w:val="clear" w:color="auto" w:fill="F0EBE1"/>
          </w:tcPr>
          <w:p w:rsidR="007F2E02" w:rsidRDefault="00ED2C2A">
            <w:pPr>
              <w:spacing w:after="0"/>
            </w:pPr>
            <w:r>
              <w:rPr>
                <w:sz w:val="19"/>
              </w:rPr>
              <w:t>Margin of safety vs plan</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First EBITDA-positive month · first cash-positive month</w:t>
            </w:r>
          </w:p>
        </w:tc>
        <w:tc>
          <w:tcPr>
            <w:tcW w:w="4252" w:type="dxa"/>
          </w:tcPr>
          <w:p w:rsidR="007F2E02" w:rsidRDefault="00ED2C2A">
            <w:pPr>
              <w:spacing w:after="0"/>
              <w:jc w:val="right"/>
            </w:pPr>
            <w:r>
              <w:rPr>
                <w:sz w:val="19"/>
              </w:rPr>
              <w:t>Month {n} · Month {m}</w:t>
            </w:r>
          </w:p>
        </w:tc>
      </w:tr>
    </w:tbl>
    <w:p w:rsidR="007F2E02" w:rsidRDefault="007F2E02">
      <w:pPr>
        <w:spacing w:after="40"/>
      </w:pPr>
    </w:p>
    <w:p w:rsidR="007F2E02" w:rsidRDefault="00ED2C2A">
      <w:pPr>
        <w:pStyle w:val="Heading2"/>
      </w:pPr>
      <w:r>
        <w:t>14.7 Summary metrics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819"/>
        <w:gridCol w:w="4252"/>
      </w:tblGrid>
      <w:tr w:rsidR="007F2E02">
        <w:trPr>
          <w:jc w:val="center"/>
        </w:trPr>
        <w:tc>
          <w:tcPr>
            <w:tcW w:w="4819" w:type="dxa"/>
            <w:shd w:val="clear" w:color="auto" w:fill="F0EBE1"/>
          </w:tcPr>
          <w:p w:rsidR="007F2E02" w:rsidRDefault="00ED2C2A">
            <w:pPr>
              <w:spacing w:after="0"/>
            </w:pPr>
            <w:r>
              <w:rPr>
                <w:sz w:val="19"/>
              </w:rPr>
              <w:t xml:space="preserve">Cumulative revenue · cumulative net </w:t>
            </w:r>
            <w:r>
              <w:rPr>
                <w:sz w:val="19"/>
              </w:rPr>
              <w:t>income, 5 years</w:t>
            </w:r>
          </w:p>
        </w:tc>
        <w:tc>
          <w:tcPr>
            <w:tcW w:w="4252" w:type="dxa"/>
          </w:tcPr>
          <w:p w:rsidR="007F2E02" w:rsidRDefault="00ED2C2A">
            <w:pPr>
              <w:spacing w:after="0"/>
              <w:jc w:val="right"/>
            </w:pPr>
            <w:r>
              <w:rPr>
                <w:sz w:val="19"/>
              </w:rPr>
              <w:t>{$} · {$}</w:t>
            </w:r>
          </w:p>
        </w:tc>
      </w:tr>
      <w:tr w:rsidR="007F2E02">
        <w:trPr>
          <w:jc w:val="center"/>
        </w:trPr>
        <w:tc>
          <w:tcPr>
            <w:tcW w:w="4819" w:type="dxa"/>
            <w:shd w:val="clear" w:color="auto" w:fill="F0EBE1"/>
          </w:tcPr>
          <w:p w:rsidR="007F2E02" w:rsidRDefault="00ED2C2A">
            <w:pPr>
              <w:spacing w:after="0"/>
            </w:pPr>
            <w:r>
              <w:rPr>
                <w:sz w:val="19"/>
              </w:rPr>
              <w:t>Revenue CAGR · EBITDA CAGR</w:t>
            </w:r>
          </w:p>
        </w:tc>
        <w:tc>
          <w:tcPr>
            <w:tcW w:w="4252" w:type="dxa"/>
          </w:tcPr>
          <w:p w:rsidR="007F2E02" w:rsidRDefault="00ED2C2A">
            <w:pPr>
              <w:spacing w:after="0"/>
              <w:jc w:val="right"/>
            </w:pPr>
            <w:r>
              <w:rPr>
                <w:sz w:val="19"/>
              </w:rPr>
              <w:t>{%} · {%}</w:t>
            </w:r>
          </w:p>
        </w:tc>
      </w:tr>
      <w:tr w:rsidR="007F2E02">
        <w:trPr>
          <w:jc w:val="center"/>
        </w:trPr>
        <w:tc>
          <w:tcPr>
            <w:tcW w:w="4819" w:type="dxa"/>
            <w:shd w:val="clear" w:color="auto" w:fill="F0EBE1"/>
          </w:tcPr>
          <w:p w:rsidR="007F2E02" w:rsidRDefault="00ED2C2A">
            <w:pPr>
              <w:spacing w:after="0"/>
            </w:pPr>
            <w:r>
              <w:rPr>
                <w:sz w:val="19"/>
              </w:rPr>
              <w:t>Payback of owner equity</w:t>
            </w:r>
          </w:p>
        </w:tc>
        <w:tc>
          <w:tcPr>
            <w:tcW w:w="4252" w:type="dxa"/>
          </w:tcPr>
          <w:p w:rsidR="007F2E02" w:rsidRDefault="00ED2C2A">
            <w:pPr>
              <w:spacing w:after="0"/>
              <w:jc w:val="right"/>
            </w:pPr>
            <w:r>
              <w:rPr>
                <w:sz w:val="19"/>
              </w:rPr>
              <w:t>Month {n}</w:t>
            </w:r>
          </w:p>
        </w:tc>
      </w:tr>
      <w:tr w:rsidR="007F2E02">
        <w:trPr>
          <w:jc w:val="center"/>
        </w:trPr>
        <w:tc>
          <w:tcPr>
            <w:tcW w:w="4819" w:type="dxa"/>
            <w:shd w:val="clear" w:color="auto" w:fill="F0EBE1"/>
          </w:tcPr>
          <w:p w:rsidR="007F2E02" w:rsidRDefault="00ED2C2A">
            <w:pPr>
              <w:spacing w:after="0"/>
            </w:pPr>
            <w:r>
              <w:rPr>
                <w:sz w:val="19"/>
              </w:rPr>
              <w:t>Cash trough and month</w:t>
            </w:r>
          </w:p>
        </w:tc>
        <w:tc>
          <w:tcPr>
            <w:tcW w:w="4252" w:type="dxa"/>
          </w:tcPr>
          <w:p w:rsidR="007F2E02" w:rsidRDefault="00ED2C2A">
            <w:pPr>
              <w:spacing w:after="0"/>
              <w:jc w:val="right"/>
            </w:pPr>
            <w:r>
              <w:rPr>
                <w:sz w:val="19"/>
              </w:rPr>
              <w:t>{$} · Month {n}</w:t>
            </w:r>
          </w:p>
        </w:tc>
      </w:tr>
      <w:tr w:rsidR="007F2E02">
        <w:trPr>
          <w:jc w:val="center"/>
        </w:trPr>
        <w:tc>
          <w:tcPr>
            <w:tcW w:w="4819" w:type="dxa"/>
            <w:shd w:val="clear" w:color="auto" w:fill="F0EBE1"/>
          </w:tcPr>
          <w:p w:rsidR="007F2E02" w:rsidRDefault="00ED2C2A">
            <w:pPr>
              <w:spacing w:after="0"/>
            </w:pPr>
            <w:r>
              <w:rPr>
                <w:sz w:val="19"/>
              </w:rPr>
              <w:t>Peak revolving-line draw · month repaid</w:t>
            </w:r>
          </w:p>
        </w:tc>
        <w:tc>
          <w:tcPr>
            <w:tcW w:w="4252" w:type="dxa"/>
          </w:tcPr>
          <w:p w:rsidR="007F2E02" w:rsidRDefault="00ED2C2A">
            <w:pPr>
              <w:spacing w:after="0"/>
              <w:jc w:val="right"/>
            </w:pPr>
            <w:r>
              <w:rPr>
                <w:sz w:val="19"/>
              </w:rPr>
              <w:t>{$} · Month {n}</w:t>
            </w:r>
          </w:p>
        </w:tc>
      </w:tr>
    </w:tbl>
    <w:p w:rsidR="007F2E02" w:rsidRDefault="007F2E02">
      <w:pPr>
        <w:spacing w:after="40"/>
      </w:pP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Every figure in this part – </w:t>
            </w:r>
            <w:r>
              <w:rPr>
                <w:sz w:val="19"/>
              </w:rPr>
              <w:t>the</w:t>
            </w:r>
            <w:r>
              <w:rPr>
                <w:sz w:val="19"/>
              </w:rPr>
              <w:t xml:space="preserve"> financial model. None of it is typed; all of it is read from the same cells that feed Parts I and XV</w:t>
            </w:r>
          </w:p>
          <w:p w:rsidR="007F2E02" w:rsidRDefault="00ED2C2A">
            <w:pPr>
              <w:spacing w:after="40"/>
            </w:pPr>
            <w:r>
              <w:rPr>
                <w:b/>
                <w:sz w:val="19"/>
              </w:rPr>
              <w:t xml:space="preserve">The coverage floor – </w:t>
            </w:r>
            <w:r>
              <w:rPr>
                <w:sz w:val="19"/>
              </w:rPr>
              <w:t>your lender's term sheet or the program's lending guidelines – 1.25× is common, not universal</w:t>
            </w:r>
          </w:p>
          <w:p w:rsidR="007F2E02" w:rsidRDefault="00ED2C2A">
            <w:pPr>
              <w:spacing w:after="40"/>
            </w:pPr>
            <w:r>
              <w:rPr>
                <w:b/>
                <w:sz w:val="19"/>
              </w:rPr>
              <w:t xml:space="preserve">Loan terms for the debt-service line – </w:t>
            </w:r>
            <w:r>
              <w:rPr>
                <w:sz w:val="19"/>
              </w:rPr>
              <w:t>Part XV, from the lender's term sheet: rate, term, interest-only period, amortisation</w:t>
            </w:r>
          </w:p>
        </w:tc>
      </w:tr>
    </w:tbl>
    <w:p w:rsidR="007F2E02" w:rsidRDefault="007F2E02">
      <w:pPr>
        <w:spacing w:after="40"/>
      </w:pPr>
    </w:p>
    <w:p w:rsidR="007F2E02" w:rsidRDefault="00ED2C2A">
      <w:pPr>
        <w:pStyle w:val="Heading1"/>
      </w:pPr>
      <w:bookmarkStart w:id="17" w:name="_Toc240027442"/>
      <w:r>
        <w:lastRenderedPageBreak/>
        <w:t>Part XV · Funding Request</w:t>
      </w:r>
      <w:bookmarkEnd w:id="17"/>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 xml:space="preserve">The ask, structured the way the program is structured. Uses mapped to the asset classes the program will </w:t>
            </w:r>
            <w:r>
              <w:rPr>
                <w:sz w:val="20"/>
              </w:rPr>
              <w:t>finance, sources opposite, totals equal, and the owners' contribution with its origin. A lender reads this part immediately after the summary.</w:t>
            </w:r>
          </w:p>
        </w:tc>
      </w:tr>
    </w:tbl>
    <w:p w:rsidR="007F2E02" w:rsidRDefault="007F2E02">
      <w:pPr>
        <w:spacing w:after="40"/>
      </w:pPr>
    </w:p>
    <w:p w:rsidR="007F2E02" w:rsidRDefault="00ED2C2A">
      <w:pPr>
        <w:pStyle w:val="Heading2"/>
      </w:pPr>
      <w:r>
        <w:t>15.1 Capital structure</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535"/>
        <w:gridCol w:w="2268"/>
        <w:gridCol w:w="1984"/>
      </w:tblGrid>
      <w:tr w:rsidR="007F2E02">
        <w:trPr>
          <w:cantSplit/>
          <w:tblHeader/>
          <w:jc w:val="center"/>
        </w:trPr>
        <w:tc>
          <w:tcPr>
            <w:tcW w:w="4535" w:type="dxa"/>
            <w:shd w:val="clear" w:color="auto" w:fill="1C3A2F"/>
          </w:tcPr>
          <w:p w:rsidR="007F2E02" w:rsidRDefault="00ED2C2A">
            <w:pPr>
              <w:keepNext/>
            </w:pPr>
            <w:r>
              <w:rPr>
                <w:b/>
                <w:color w:val="FAF7F2"/>
                <w:sz w:val="18"/>
              </w:rPr>
              <w:t>Facility</w:t>
            </w:r>
          </w:p>
        </w:tc>
        <w:tc>
          <w:tcPr>
            <w:tcW w:w="2268" w:type="dxa"/>
            <w:shd w:val="clear" w:color="auto" w:fill="1C3A2F"/>
          </w:tcPr>
          <w:p w:rsidR="007F2E02" w:rsidRDefault="00ED2C2A">
            <w:pPr>
              <w:keepNext/>
              <w:jc w:val="right"/>
            </w:pPr>
            <w:r>
              <w:rPr>
                <w:b/>
                <w:color w:val="FAF7F2"/>
                <w:sz w:val="18"/>
              </w:rPr>
              <w:t>Amount</w:t>
            </w:r>
          </w:p>
        </w:tc>
        <w:tc>
          <w:tcPr>
            <w:tcW w:w="1984" w:type="dxa"/>
            <w:shd w:val="clear" w:color="auto" w:fill="1C3A2F"/>
          </w:tcPr>
          <w:p w:rsidR="007F2E02" w:rsidRDefault="00ED2C2A">
            <w:pPr>
              <w:keepNext/>
              <w:jc w:val="right"/>
            </w:pPr>
            <w:r>
              <w:rPr>
                <w:b/>
                <w:color w:val="FAF7F2"/>
                <w:sz w:val="18"/>
              </w:rPr>
              <w:t>% of total</w:t>
            </w:r>
          </w:p>
        </w:tc>
      </w:tr>
      <w:tr w:rsidR="007F2E02">
        <w:trPr>
          <w:jc w:val="center"/>
        </w:trPr>
        <w:tc>
          <w:tcPr>
            <w:tcW w:w="4535" w:type="dxa"/>
          </w:tcPr>
          <w:p w:rsidR="007F2E02" w:rsidRDefault="007F2E02">
            <w:pPr>
              <w:spacing w:after="0"/>
            </w:pPr>
          </w:p>
        </w:tc>
        <w:tc>
          <w:tcPr>
            <w:tcW w:w="2268" w:type="dxa"/>
          </w:tcPr>
          <w:p w:rsidR="007F2E02" w:rsidRDefault="007F2E02">
            <w:pPr>
              <w:spacing w:after="0"/>
              <w:jc w:val="right"/>
            </w:pPr>
          </w:p>
        </w:tc>
        <w:tc>
          <w:tcPr>
            <w:tcW w:w="1984"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2268" w:type="dxa"/>
          </w:tcPr>
          <w:p w:rsidR="007F2E02" w:rsidRDefault="007F2E02">
            <w:pPr>
              <w:spacing w:after="0"/>
              <w:jc w:val="right"/>
            </w:pPr>
          </w:p>
        </w:tc>
        <w:tc>
          <w:tcPr>
            <w:tcW w:w="1984"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2268" w:type="dxa"/>
          </w:tcPr>
          <w:p w:rsidR="007F2E02" w:rsidRDefault="007F2E02">
            <w:pPr>
              <w:spacing w:after="0"/>
              <w:jc w:val="right"/>
            </w:pPr>
          </w:p>
        </w:tc>
        <w:tc>
          <w:tcPr>
            <w:tcW w:w="1984" w:type="dxa"/>
          </w:tcPr>
          <w:p w:rsidR="007F2E02" w:rsidRDefault="007F2E02">
            <w:pPr>
              <w:spacing w:after="0"/>
              <w:jc w:val="right"/>
            </w:pPr>
          </w:p>
        </w:tc>
      </w:tr>
      <w:tr w:rsidR="007F2E02">
        <w:trPr>
          <w:jc w:val="center"/>
        </w:trPr>
        <w:tc>
          <w:tcPr>
            <w:tcW w:w="4535" w:type="dxa"/>
          </w:tcPr>
          <w:p w:rsidR="007F2E02" w:rsidRDefault="007F2E02">
            <w:pPr>
              <w:spacing w:after="0"/>
            </w:pPr>
          </w:p>
        </w:tc>
        <w:tc>
          <w:tcPr>
            <w:tcW w:w="2268" w:type="dxa"/>
          </w:tcPr>
          <w:p w:rsidR="007F2E02" w:rsidRDefault="007F2E02">
            <w:pPr>
              <w:spacing w:after="0"/>
              <w:jc w:val="right"/>
            </w:pPr>
          </w:p>
        </w:tc>
        <w:tc>
          <w:tcPr>
            <w:tcW w:w="1984" w:type="dxa"/>
          </w:tcPr>
          <w:p w:rsidR="007F2E02" w:rsidRDefault="007F2E02">
            <w:pPr>
              <w:spacing w:after="0"/>
              <w:jc w:val="right"/>
            </w:pPr>
          </w:p>
        </w:tc>
      </w:tr>
    </w:tbl>
    <w:p w:rsidR="007F2E02" w:rsidRDefault="007F2E02">
      <w:pPr>
        <w:spacing w:after="40"/>
      </w:pPr>
    </w:p>
    <w:p w:rsidR="007F2E02" w:rsidRDefault="00ED2C2A">
      <w:r>
        <w:rPr>
          <w:color w:val="6B6459"/>
          <w:sz w:val="19"/>
        </w:rPr>
        <w:t xml:space="preserve">Term loan (as % of eligible assets) · </w:t>
      </w:r>
      <w:r>
        <w:rPr>
          <w:color w:val="6B6459"/>
          <w:sz w:val="19"/>
        </w:rPr>
        <w:t>revolving line · owner equity, with its source – savings, sale of an asset, family · total project cost.</w:t>
      </w:r>
    </w:p>
    <w:p w:rsidR="007F2E02" w:rsidRDefault="00ED2C2A">
      <w:pPr>
        <w:pStyle w:val="Heading2"/>
      </w:pPr>
      <w:r>
        <w:t>15.2 Sources and uses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3118"/>
        <w:gridCol w:w="1304"/>
        <w:gridCol w:w="3118"/>
        <w:gridCol w:w="1304"/>
      </w:tblGrid>
      <w:tr w:rsidR="007F2E02">
        <w:trPr>
          <w:cantSplit/>
          <w:tblHeader/>
          <w:jc w:val="center"/>
        </w:trPr>
        <w:tc>
          <w:tcPr>
            <w:tcW w:w="3118" w:type="dxa"/>
            <w:shd w:val="clear" w:color="auto" w:fill="1C3A2F"/>
          </w:tcPr>
          <w:p w:rsidR="007F2E02" w:rsidRDefault="00ED2C2A">
            <w:pPr>
              <w:keepNext/>
            </w:pPr>
            <w:r>
              <w:rPr>
                <w:b/>
                <w:color w:val="FAF7F2"/>
                <w:sz w:val="18"/>
              </w:rPr>
              <w:t>Uses, by program asset class</w:t>
            </w:r>
          </w:p>
        </w:tc>
        <w:tc>
          <w:tcPr>
            <w:tcW w:w="1304" w:type="dxa"/>
            <w:shd w:val="clear" w:color="auto" w:fill="1C3A2F"/>
          </w:tcPr>
          <w:p w:rsidR="007F2E02" w:rsidRDefault="00ED2C2A">
            <w:pPr>
              <w:keepNext/>
              <w:jc w:val="right"/>
            </w:pPr>
            <w:r>
              <w:rPr>
                <w:b/>
                <w:color w:val="FAF7F2"/>
                <w:sz w:val="18"/>
              </w:rPr>
              <w:t>$</w:t>
            </w:r>
          </w:p>
        </w:tc>
        <w:tc>
          <w:tcPr>
            <w:tcW w:w="3118" w:type="dxa"/>
            <w:shd w:val="clear" w:color="auto" w:fill="1C3A2F"/>
          </w:tcPr>
          <w:p w:rsidR="007F2E02" w:rsidRDefault="00ED2C2A">
            <w:pPr>
              <w:keepNext/>
              <w:jc w:val="right"/>
            </w:pPr>
            <w:r>
              <w:rPr>
                <w:b/>
                <w:color w:val="FAF7F2"/>
                <w:sz w:val="18"/>
              </w:rPr>
              <w:t>Sources</w:t>
            </w:r>
          </w:p>
        </w:tc>
        <w:tc>
          <w:tcPr>
            <w:tcW w:w="1304" w:type="dxa"/>
            <w:shd w:val="clear" w:color="auto" w:fill="1C3A2F"/>
          </w:tcPr>
          <w:p w:rsidR="007F2E02" w:rsidRDefault="00ED2C2A">
            <w:pPr>
              <w:keepNext/>
              <w:jc w:val="right"/>
            </w:pPr>
            <w:r>
              <w:rPr>
                <w:b/>
                <w:color w:val="FAF7F2"/>
                <w:sz w:val="18"/>
              </w:rPr>
              <w:t>$</w:t>
            </w: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r w:rsidR="007F2E02">
        <w:trPr>
          <w:jc w:val="center"/>
        </w:trPr>
        <w:tc>
          <w:tcPr>
            <w:tcW w:w="3118" w:type="dxa"/>
          </w:tcPr>
          <w:p w:rsidR="007F2E02" w:rsidRDefault="007F2E02">
            <w:pPr>
              <w:spacing w:after="0"/>
            </w:pPr>
          </w:p>
        </w:tc>
        <w:tc>
          <w:tcPr>
            <w:tcW w:w="1304" w:type="dxa"/>
          </w:tcPr>
          <w:p w:rsidR="007F2E02" w:rsidRDefault="007F2E02">
            <w:pPr>
              <w:spacing w:after="0"/>
              <w:jc w:val="right"/>
            </w:pPr>
          </w:p>
        </w:tc>
        <w:tc>
          <w:tcPr>
            <w:tcW w:w="3118" w:type="dxa"/>
          </w:tcPr>
          <w:p w:rsidR="007F2E02" w:rsidRDefault="007F2E02">
            <w:pPr>
              <w:spacing w:after="0"/>
              <w:jc w:val="right"/>
            </w:pPr>
          </w:p>
        </w:tc>
        <w:tc>
          <w:tcPr>
            <w:tcW w:w="1304" w:type="dxa"/>
          </w:tcPr>
          <w:p w:rsidR="007F2E02" w:rsidRDefault="007F2E02">
            <w:pPr>
              <w:spacing w:after="0"/>
              <w:jc w:val="right"/>
            </w:pPr>
          </w:p>
        </w:tc>
      </w:tr>
    </w:tbl>
    <w:p w:rsidR="007F2E02" w:rsidRDefault="007F2E02">
      <w:pPr>
        <w:spacing w:after="40"/>
      </w:pPr>
    </w:p>
    <w:p w:rsidR="007F2E02" w:rsidRDefault="00ED2C2A">
      <w:pPr>
        <w:pStyle w:val="Heading2"/>
      </w:pPr>
      <w:r>
        <w:t>15.3 Loan terms</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819"/>
        <w:gridCol w:w="4252"/>
      </w:tblGrid>
      <w:tr w:rsidR="007F2E02">
        <w:trPr>
          <w:jc w:val="center"/>
        </w:trPr>
        <w:tc>
          <w:tcPr>
            <w:tcW w:w="4819" w:type="dxa"/>
            <w:shd w:val="clear" w:color="auto" w:fill="F0EBE1"/>
          </w:tcPr>
          <w:p w:rsidR="007F2E02" w:rsidRDefault="00ED2C2A">
            <w:pPr>
              <w:spacing w:after="0"/>
            </w:pPr>
            <w:r>
              <w:rPr>
                <w:sz w:val="19"/>
              </w:rPr>
              <w:t>Principal</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Rate</w:t>
            </w:r>
          </w:p>
        </w:tc>
        <w:tc>
          <w:tcPr>
            <w:tcW w:w="4252" w:type="dxa"/>
          </w:tcPr>
          <w:p w:rsidR="007F2E02" w:rsidRDefault="00ED2C2A">
            <w:pPr>
              <w:spacing w:after="0"/>
              <w:jc w:val="right"/>
            </w:pPr>
            <w:r>
              <w:rPr>
                <w:sz w:val="19"/>
              </w:rPr>
              <w:t>{Prime + spread}</w:t>
            </w:r>
          </w:p>
        </w:tc>
      </w:tr>
      <w:tr w:rsidR="007F2E02">
        <w:trPr>
          <w:jc w:val="center"/>
        </w:trPr>
        <w:tc>
          <w:tcPr>
            <w:tcW w:w="4819" w:type="dxa"/>
            <w:shd w:val="clear" w:color="auto" w:fill="F0EBE1"/>
          </w:tcPr>
          <w:p w:rsidR="007F2E02" w:rsidRDefault="00ED2C2A">
            <w:pPr>
              <w:spacing w:after="0"/>
            </w:pPr>
            <w:r>
              <w:rPr>
                <w:sz w:val="19"/>
              </w:rPr>
              <w:t>Term · amortisation</w:t>
            </w:r>
          </w:p>
        </w:tc>
        <w:tc>
          <w:tcPr>
            <w:tcW w:w="4252" w:type="dxa"/>
          </w:tcPr>
          <w:p w:rsidR="007F2E02" w:rsidRDefault="00ED2C2A">
            <w:pPr>
              <w:spacing w:after="0"/>
              <w:jc w:val="right"/>
            </w:pPr>
            <w:r>
              <w:rPr>
                <w:sz w:val="19"/>
              </w:rPr>
              <w:t>{months} · {months}</w:t>
            </w:r>
          </w:p>
        </w:tc>
      </w:tr>
      <w:tr w:rsidR="007F2E02">
        <w:trPr>
          <w:jc w:val="center"/>
        </w:trPr>
        <w:tc>
          <w:tcPr>
            <w:tcW w:w="4819" w:type="dxa"/>
            <w:shd w:val="clear" w:color="auto" w:fill="F0EBE1"/>
          </w:tcPr>
          <w:p w:rsidR="007F2E02" w:rsidRDefault="00ED2C2A">
            <w:pPr>
              <w:spacing w:after="0"/>
            </w:pPr>
            <w:r>
              <w:rPr>
                <w:sz w:val="19"/>
              </w:rPr>
              <w:t>Interest-only period</w:t>
            </w:r>
          </w:p>
        </w:tc>
        <w:tc>
          <w:tcPr>
            <w:tcW w:w="4252" w:type="dxa"/>
          </w:tcPr>
          <w:p w:rsidR="007F2E02" w:rsidRDefault="00ED2C2A">
            <w:pPr>
              <w:spacing w:after="0"/>
              <w:jc w:val="right"/>
            </w:pPr>
            <w:r>
              <w:rPr>
                <w:sz w:val="19"/>
              </w:rPr>
              <w:t>{months}</w:t>
            </w:r>
          </w:p>
        </w:tc>
      </w:tr>
      <w:tr w:rsidR="007F2E02">
        <w:trPr>
          <w:jc w:val="center"/>
        </w:trPr>
        <w:tc>
          <w:tcPr>
            <w:tcW w:w="4819" w:type="dxa"/>
            <w:shd w:val="clear" w:color="auto" w:fill="F0EBE1"/>
          </w:tcPr>
          <w:p w:rsidR="007F2E02" w:rsidRDefault="00ED2C2A">
            <w:pPr>
              <w:spacing w:after="0"/>
            </w:pPr>
            <w:r>
              <w:rPr>
                <w:sz w:val="19"/>
              </w:rPr>
              <w:t>Monthly payment (interest-only / principal + interest)</w:t>
            </w:r>
          </w:p>
        </w:tc>
        <w:tc>
          <w:tcPr>
            <w:tcW w:w="4252" w:type="dxa"/>
          </w:tcPr>
          <w:p w:rsidR="007F2E02" w:rsidRDefault="00ED2C2A">
            <w:pPr>
              <w:spacing w:after="0"/>
              <w:jc w:val="right"/>
            </w:pPr>
            <w:r>
              <w:rPr>
                <w:sz w:val="19"/>
              </w:rPr>
              <w:t>{$} / {$}</w:t>
            </w:r>
          </w:p>
        </w:tc>
      </w:tr>
      <w:tr w:rsidR="007F2E02">
        <w:trPr>
          <w:jc w:val="center"/>
        </w:trPr>
        <w:tc>
          <w:tcPr>
            <w:tcW w:w="4819" w:type="dxa"/>
            <w:shd w:val="clear" w:color="auto" w:fill="F0EBE1"/>
          </w:tcPr>
          <w:p w:rsidR="007F2E02" w:rsidRDefault="00ED2C2A">
            <w:pPr>
              <w:spacing w:after="0"/>
            </w:pPr>
            <w:r>
              <w:rPr>
                <w:sz w:val="19"/>
              </w:rPr>
              <w:t>Total interest over term</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Fees</w:t>
            </w:r>
          </w:p>
        </w:tc>
        <w:tc>
          <w:tcPr>
            <w:tcW w:w="4252" w:type="dxa"/>
          </w:tcPr>
          <w:p w:rsidR="007F2E02" w:rsidRDefault="00ED2C2A">
            <w:pPr>
              <w:spacing w:after="0"/>
              <w:jc w:val="right"/>
            </w:pPr>
            <w:r>
              <w:rPr>
                <w:sz w:val="19"/>
              </w:rPr>
              <w:t>{registration fee, if any}</w:t>
            </w:r>
          </w:p>
        </w:tc>
      </w:tr>
      <w:tr w:rsidR="007F2E02">
        <w:trPr>
          <w:jc w:val="center"/>
        </w:trPr>
        <w:tc>
          <w:tcPr>
            <w:tcW w:w="4819" w:type="dxa"/>
            <w:shd w:val="clear" w:color="auto" w:fill="F0EBE1"/>
          </w:tcPr>
          <w:p w:rsidR="007F2E02" w:rsidRDefault="00ED2C2A">
            <w:pPr>
              <w:spacing w:after="0"/>
            </w:pPr>
            <w:r>
              <w:rPr>
                <w:sz w:val="19"/>
              </w:rPr>
              <w:t>Security</w:t>
            </w:r>
          </w:p>
        </w:tc>
        <w:tc>
          <w:tcPr>
            <w:tcW w:w="4252" w:type="dxa"/>
          </w:tcPr>
          <w:p w:rsidR="007F2E02" w:rsidRDefault="00ED2C2A">
            <w:pPr>
              <w:spacing w:after="0"/>
              <w:jc w:val="right"/>
            </w:pPr>
            <w:r>
              <w:rPr>
                <w:sz w:val="19"/>
              </w:rPr>
              <w:t xml:space="preserve">{general security agreement, personal </w:t>
            </w:r>
            <w:r>
              <w:rPr>
                <w:sz w:val="19"/>
              </w:rPr>
              <w:t>guarantees}</w:t>
            </w:r>
          </w:p>
        </w:tc>
      </w:tr>
    </w:tbl>
    <w:p w:rsidR="007F2E02" w:rsidRDefault="007F2E02">
      <w:pPr>
        <w:spacing w:after="40"/>
      </w:pPr>
    </w:p>
    <w:p w:rsidR="007F2E02" w:rsidRDefault="00ED2C2A">
      <w:r>
        <w:rPr>
          <w:i/>
          <w:color w:val="6B6459"/>
        </w:rPr>
        <w:lastRenderedPageBreak/>
        <w:t>{Revolving line, if any: limit · rate · commitment fee · purpose · repayment mechanism.}</w:t>
      </w:r>
    </w:p>
    <w:p w:rsidR="007F2E02" w:rsidRDefault="00ED2C2A">
      <w:pPr>
        <w:pStyle w:val="Heading2"/>
      </w:pPr>
      <w:r>
        <w:t>15.4 Repayment capacity</w:t>
      </w: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4819"/>
        <w:gridCol w:w="4252"/>
      </w:tblGrid>
      <w:tr w:rsidR="007F2E02">
        <w:trPr>
          <w:jc w:val="center"/>
        </w:trPr>
        <w:tc>
          <w:tcPr>
            <w:tcW w:w="4819" w:type="dxa"/>
            <w:shd w:val="clear" w:color="auto" w:fill="F0EBE1"/>
          </w:tcPr>
          <w:p w:rsidR="007F2E02" w:rsidRDefault="00ED2C2A">
            <w:pPr>
              <w:spacing w:after="0"/>
            </w:pPr>
            <w:r>
              <w:rPr>
                <w:sz w:val="19"/>
              </w:rPr>
              <w:t>Year-1 debt service</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Year-1 EBITDA</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Year-1 DSCR (vs {covenant})</w:t>
            </w:r>
          </w:p>
        </w:tc>
        <w:tc>
          <w:tcPr>
            <w:tcW w:w="4252" w:type="dxa"/>
          </w:tcPr>
          <w:p w:rsidR="007F2E02" w:rsidRDefault="00ED2C2A">
            <w:pPr>
              <w:spacing w:after="0"/>
              <w:jc w:val="right"/>
            </w:pPr>
            <w:r>
              <w:rPr>
                <w:sz w:val="19"/>
              </w:rPr>
              <w:t>{x.xx×}</w:t>
            </w:r>
          </w:p>
        </w:tc>
      </w:tr>
      <w:tr w:rsidR="007F2E02">
        <w:trPr>
          <w:jc w:val="center"/>
        </w:trPr>
        <w:tc>
          <w:tcPr>
            <w:tcW w:w="4819" w:type="dxa"/>
            <w:shd w:val="clear" w:color="auto" w:fill="F0EBE1"/>
          </w:tcPr>
          <w:p w:rsidR="007F2E02" w:rsidRDefault="00ED2C2A">
            <w:pPr>
              <w:spacing w:after="0"/>
            </w:pPr>
            <w:r>
              <w:rPr>
                <w:sz w:val="19"/>
              </w:rPr>
              <w:t>Year-2 DSCR</w:t>
            </w:r>
          </w:p>
        </w:tc>
        <w:tc>
          <w:tcPr>
            <w:tcW w:w="4252" w:type="dxa"/>
          </w:tcPr>
          <w:p w:rsidR="007F2E02" w:rsidRDefault="00ED2C2A">
            <w:pPr>
              <w:spacing w:after="0"/>
              <w:jc w:val="right"/>
            </w:pPr>
            <w:r>
              <w:rPr>
                <w:sz w:val="19"/>
              </w:rPr>
              <w:t>{x.xx×}</w:t>
            </w:r>
          </w:p>
        </w:tc>
      </w:tr>
      <w:tr w:rsidR="007F2E02">
        <w:trPr>
          <w:jc w:val="center"/>
        </w:trPr>
        <w:tc>
          <w:tcPr>
            <w:tcW w:w="4819" w:type="dxa"/>
            <w:shd w:val="clear" w:color="auto" w:fill="F0EBE1"/>
          </w:tcPr>
          <w:p w:rsidR="007F2E02" w:rsidRDefault="00ED2C2A">
            <w:pPr>
              <w:spacing w:after="0"/>
            </w:pPr>
            <w:r>
              <w:rPr>
                <w:sz w:val="19"/>
              </w:rPr>
              <w:t xml:space="preserve">Cumulative cash flow, 5 </w:t>
            </w:r>
            <w:r>
              <w:rPr>
                <w:sz w:val="19"/>
              </w:rPr>
              <w:t>years</w:t>
            </w:r>
          </w:p>
        </w:tc>
        <w:tc>
          <w:tcPr>
            <w:tcW w:w="4252" w:type="dxa"/>
          </w:tcPr>
          <w:p w:rsidR="007F2E02" w:rsidRDefault="00ED2C2A">
            <w:pPr>
              <w:spacing w:after="0"/>
              <w:jc w:val="right"/>
            </w:pPr>
            <w:r>
              <w:rPr>
                <w:sz w:val="19"/>
              </w:rPr>
              <w:t>{$}</w:t>
            </w:r>
          </w:p>
        </w:tc>
      </w:tr>
      <w:tr w:rsidR="007F2E02">
        <w:trPr>
          <w:jc w:val="center"/>
        </w:trPr>
        <w:tc>
          <w:tcPr>
            <w:tcW w:w="4819" w:type="dxa"/>
            <w:shd w:val="clear" w:color="auto" w:fill="F0EBE1"/>
          </w:tcPr>
          <w:p w:rsidR="007F2E02" w:rsidRDefault="00ED2C2A">
            <w:pPr>
              <w:spacing w:after="0"/>
            </w:pPr>
            <w:r>
              <w:rPr>
                <w:sz w:val="19"/>
              </w:rPr>
              <w:t>Cash-positive month</w:t>
            </w:r>
          </w:p>
        </w:tc>
        <w:tc>
          <w:tcPr>
            <w:tcW w:w="4252" w:type="dxa"/>
          </w:tcPr>
          <w:p w:rsidR="007F2E02" w:rsidRDefault="00ED2C2A">
            <w:pPr>
              <w:spacing w:after="0"/>
              <w:jc w:val="right"/>
            </w:pPr>
            <w:r>
              <w:rPr>
                <w:sz w:val="19"/>
              </w:rPr>
              <w:t>Month {n}</w:t>
            </w:r>
          </w:p>
        </w:tc>
      </w:tr>
      <w:tr w:rsidR="007F2E02">
        <w:trPr>
          <w:jc w:val="center"/>
        </w:trPr>
        <w:tc>
          <w:tcPr>
            <w:tcW w:w="4819" w:type="dxa"/>
            <w:shd w:val="clear" w:color="auto" w:fill="F0EBE1"/>
          </w:tcPr>
          <w:p w:rsidR="007F2E02" w:rsidRDefault="00ED2C2A">
            <w:pPr>
              <w:spacing w:after="0"/>
            </w:pPr>
            <w:r>
              <w:rPr>
                <w:sz w:val="19"/>
              </w:rPr>
              <w:t>Revenue haircut to covenant</w:t>
            </w:r>
          </w:p>
        </w:tc>
        <w:tc>
          <w:tcPr>
            <w:tcW w:w="4252" w:type="dxa"/>
          </w:tcPr>
          <w:p w:rsidR="007F2E02" w:rsidRDefault="00ED2C2A">
            <w:pPr>
              <w:spacing w:after="0"/>
              <w:jc w:val="right"/>
            </w:pPr>
            <w:r>
              <w:rPr>
                <w:sz w:val="19"/>
              </w:rPr>
              <w:t>{%}</w:t>
            </w:r>
          </w:p>
        </w:tc>
      </w:tr>
    </w:tbl>
    <w:p w:rsidR="007F2E02" w:rsidRDefault="007F2E02">
      <w:pPr>
        <w:spacing w:after="40"/>
      </w:pPr>
    </w:p>
    <w:p w:rsidR="007F2E02" w:rsidRDefault="00ED2C2A">
      <w:pPr>
        <w:pStyle w:val="Heading2"/>
      </w:pPr>
      <w:r>
        <w:t>15.5 Security and guarantees</w:t>
      </w:r>
    </w:p>
    <w:p w:rsidR="007F2E02" w:rsidRDefault="00ED2C2A">
      <w:r>
        <w:rPr>
          <w:i/>
          <w:color w:val="6B6459"/>
        </w:rPr>
        <w:t xml:space="preserve">{Personal guarantees (who, extent); general security agreement over financed assets; program registration fee (financed or not); any other collateral </w:t>
      </w:r>
      <w:r>
        <w:rPr>
          <w:i/>
          <w:color w:val="6B6459"/>
        </w:rPr>
        <w:t>offered.}</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sz w:val="19"/>
              </w:rPr>
              <w:t>Where the numbers come from</w:t>
            </w:r>
          </w:p>
          <w:p w:rsidR="007F2E02" w:rsidRDefault="00ED2C2A">
            <w:pPr>
              <w:spacing w:after="40"/>
            </w:pPr>
            <w:r>
              <w:rPr>
                <w:b/>
                <w:sz w:val="19"/>
              </w:rPr>
              <w:t xml:space="preserve">Program rules – eligible asset classes, maximums, fee, rate cap, guarantee terms – </w:t>
            </w:r>
            <w:r>
              <w:rPr>
                <w:sz w:val="19"/>
              </w:rPr>
              <w:t xml:space="preserve">Canada Small Business Financing Program, ISED – ised-isde.canada.ca. Read the current program page, not a summary of it: the maximums </w:t>
            </w:r>
            <w:r>
              <w:rPr>
                <w:sz w:val="19"/>
              </w:rPr>
              <w:t>and the fee have changed more than once</w:t>
            </w:r>
          </w:p>
          <w:p w:rsidR="007F2E02" w:rsidRDefault="00ED2C2A">
            <w:pPr>
              <w:spacing w:after="40"/>
            </w:pPr>
            <w:r>
              <w:rPr>
                <w:b/>
                <w:sz w:val="19"/>
              </w:rPr>
              <w:t xml:space="preserve">Your facility's actual terms – </w:t>
            </w:r>
            <w:r>
              <w:rPr>
                <w:sz w:val="19"/>
              </w:rPr>
              <w:t>the lender's term sheet or letter of interest. Every cell in 15.3 comes from it, and the debt-service line in Part XIV is calculated from these terms and no others</w:t>
            </w:r>
          </w:p>
          <w:p w:rsidR="007F2E02" w:rsidRDefault="00ED2C2A">
            <w:pPr>
              <w:spacing w:after="40"/>
            </w:pPr>
            <w:r>
              <w:rPr>
                <w:b/>
                <w:sz w:val="19"/>
              </w:rPr>
              <w:t>Alternative and compl</w:t>
            </w:r>
            <w:r>
              <w:rPr>
                <w:b/>
                <w:sz w:val="19"/>
              </w:rPr>
              <w:t xml:space="preserve">ementary programs – </w:t>
            </w:r>
            <w:r>
              <w:rPr>
                <w:sz w:val="19"/>
              </w:rPr>
              <w:t>Futurpreneur (futurpreneur.ca) with its BDC portion; BDC (bdc.ca); provincial and regional development agencies for your area</w:t>
            </w:r>
          </w:p>
        </w:tc>
      </w:tr>
    </w:tbl>
    <w:p w:rsidR="007F2E02" w:rsidRDefault="007F2E02">
      <w:pPr>
        <w:spacing w:after="40"/>
      </w:pPr>
    </w:p>
    <w:p w:rsidR="007F2E02" w:rsidRDefault="00ED2C2A">
      <w:pPr>
        <w:pStyle w:val="Heading1"/>
      </w:pPr>
      <w:bookmarkStart w:id="18" w:name="_Toc240027443"/>
      <w:r>
        <w:lastRenderedPageBreak/>
        <w:t>Part XVI · Risks and Mitigants</w:t>
      </w:r>
      <w:bookmarkEnd w:id="18"/>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What the reader must find here. </w:t>
            </w:r>
            <w:r>
              <w:rPr>
                <w:sz w:val="20"/>
              </w:rPr>
              <w:t>Five to eight risks, each with its likelihood</w:t>
            </w:r>
            <w:r>
              <w:rPr>
                <w:sz w:val="20"/>
              </w:rPr>
              <w:t>, its impact, what answers it, and where that answer sits in the forecast. The risk the analyst would name first should be your first row. A plan with no risks in it is read as a plan whose author did not look.</w:t>
            </w:r>
          </w:p>
        </w:tc>
      </w:tr>
    </w:tbl>
    <w:p w:rsidR="007F2E02" w:rsidRDefault="007F2E02">
      <w:pPr>
        <w:spacing w:after="40"/>
      </w:pPr>
    </w:p>
    <w:tbl>
      <w:tblPr>
        <w:tblW w:w="0" w:type="auto"/>
        <w:jc w:val="center"/>
        <w:tblBorders>
          <w:top w:val="single" w:sz="4" w:space="0" w:color="E8ECEA"/>
          <w:left w:val="nil"/>
          <w:bottom w:val="single" w:sz="4" w:space="0" w:color="E8ECEA"/>
          <w:right w:val="nil"/>
          <w:insideH w:val="single" w:sz="4" w:space="0" w:color="E8ECEA"/>
          <w:insideV w:val="nil"/>
        </w:tblBorders>
        <w:tblLayout w:type="fixed"/>
        <w:tblCellMar>
          <w:top w:w="40" w:type="dxa"/>
          <w:left w:w="80" w:type="dxa"/>
          <w:bottom w:w="40" w:type="dxa"/>
          <w:right w:w="80" w:type="dxa"/>
        </w:tblCellMar>
        <w:tblLook w:val="04A0" w:firstRow="1" w:lastRow="0" w:firstColumn="1" w:lastColumn="0" w:noHBand="0" w:noVBand="1"/>
      </w:tblPr>
      <w:tblGrid>
        <w:gridCol w:w="1926"/>
        <w:gridCol w:w="1926"/>
        <w:gridCol w:w="1926"/>
        <w:gridCol w:w="1926"/>
        <w:gridCol w:w="1926"/>
      </w:tblGrid>
      <w:tr w:rsidR="007F2E02">
        <w:trPr>
          <w:cantSplit/>
          <w:tblHeader/>
          <w:jc w:val="center"/>
        </w:trPr>
        <w:tc>
          <w:tcPr>
            <w:tcW w:w="1926" w:type="dxa"/>
            <w:shd w:val="clear" w:color="auto" w:fill="1C3A2F"/>
          </w:tcPr>
          <w:p w:rsidR="007F2E02" w:rsidRDefault="00ED2C2A">
            <w:pPr>
              <w:keepNext/>
            </w:pPr>
            <w:r>
              <w:rPr>
                <w:b/>
                <w:color w:val="FAF7F2"/>
                <w:sz w:val="18"/>
              </w:rPr>
              <w:t>Risk</w:t>
            </w:r>
          </w:p>
        </w:tc>
        <w:tc>
          <w:tcPr>
            <w:tcW w:w="1926" w:type="dxa"/>
            <w:shd w:val="clear" w:color="auto" w:fill="1C3A2F"/>
          </w:tcPr>
          <w:p w:rsidR="007F2E02" w:rsidRDefault="00ED2C2A">
            <w:pPr>
              <w:keepNext/>
              <w:jc w:val="right"/>
            </w:pPr>
            <w:r>
              <w:rPr>
                <w:b/>
                <w:color w:val="FAF7F2"/>
                <w:sz w:val="18"/>
              </w:rPr>
              <w:t>Likelihood</w:t>
            </w:r>
          </w:p>
        </w:tc>
        <w:tc>
          <w:tcPr>
            <w:tcW w:w="1926" w:type="dxa"/>
            <w:shd w:val="clear" w:color="auto" w:fill="1C3A2F"/>
          </w:tcPr>
          <w:p w:rsidR="007F2E02" w:rsidRDefault="00ED2C2A">
            <w:pPr>
              <w:keepNext/>
              <w:jc w:val="right"/>
            </w:pPr>
            <w:r>
              <w:rPr>
                <w:b/>
                <w:color w:val="FAF7F2"/>
                <w:sz w:val="18"/>
              </w:rPr>
              <w:t>Impact</w:t>
            </w:r>
          </w:p>
        </w:tc>
        <w:tc>
          <w:tcPr>
            <w:tcW w:w="1926" w:type="dxa"/>
            <w:shd w:val="clear" w:color="auto" w:fill="1C3A2F"/>
          </w:tcPr>
          <w:p w:rsidR="007F2E02" w:rsidRDefault="00ED2C2A">
            <w:pPr>
              <w:keepNext/>
              <w:jc w:val="right"/>
            </w:pPr>
            <w:r>
              <w:rPr>
                <w:b/>
                <w:color w:val="FAF7F2"/>
                <w:sz w:val="18"/>
              </w:rPr>
              <w:t>Mitigant</w:t>
            </w:r>
          </w:p>
        </w:tc>
        <w:tc>
          <w:tcPr>
            <w:tcW w:w="1926" w:type="dxa"/>
            <w:shd w:val="clear" w:color="auto" w:fill="1C3A2F"/>
          </w:tcPr>
          <w:p w:rsidR="007F2E02" w:rsidRDefault="00ED2C2A">
            <w:pPr>
              <w:keepNext/>
              <w:jc w:val="right"/>
            </w:pPr>
            <w:r>
              <w:rPr>
                <w:b/>
                <w:color w:val="FAF7F2"/>
                <w:sz w:val="18"/>
              </w:rPr>
              <w:t xml:space="preserve">Where in </w:t>
            </w:r>
            <w:r>
              <w:rPr>
                <w:b/>
                <w:color w:val="FAF7F2"/>
                <w:sz w:val="18"/>
              </w:rPr>
              <w:t>the forecast</w:t>
            </w: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r w:rsidR="007F2E02">
        <w:trPr>
          <w:jc w:val="center"/>
        </w:trPr>
        <w:tc>
          <w:tcPr>
            <w:tcW w:w="1926" w:type="dxa"/>
          </w:tcPr>
          <w:p w:rsidR="007F2E02" w:rsidRDefault="007F2E02">
            <w:pPr>
              <w:spacing w:after="0"/>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c>
          <w:tcPr>
            <w:tcW w:w="1926" w:type="dxa"/>
          </w:tcPr>
          <w:p w:rsidR="007F2E02" w:rsidRDefault="007F2E02">
            <w:pPr>
              <w:spacing w:after="0"/>
              <w:jc w:val="right"/>
            </w:pPr>
          </w:p>
        </w:tc>
      </w:tr>
    </w:tbl>
    <w:p w:rsidR="007F2E02" w:rsidRDefault="007F2E02">
      <w:pPr>
        <w:spacing w:after="40"/>
      </w:pPr>
    </w:p>
    <w:p w:rsidR="007F2E02" w:rsidRDefault="00ED2C2A">
      <w:r>
        <w:rPr>
          <w:color w:val="6B6459"/>
          <w:sz w:val="19"/>
        </w:rPr>
        <w:t>Seasonality and the cash trough · input-cost inflation · labour availability · regulatory or permitting delay · competitor entry · key person · demand below plan (link to 14.5.2) · construction</w:t>
      </w:r>
      <w:r>
        <w:rPr>
          <w:color w:val="6B6459"/>
          <w:sz w:val="19"/>
        </w:rPr>
        <w:t xml:space="preserve"> or equipment delay.</w:t>
      </w:r>
    </w:p>
    <w:p w:rsidR="007F2E02" w:rsidRDefault="00ED2C2A">
      <w:pPr>
        <w:pStyle w:val="Heading1"/>
      </w:pPr>
      <w:bookmarkStart w:id="19" w:name="_Toc240027444"/>
      <w:r>
        <w:lastRenderedPageBreak/>
        <w:t>Part XVII · Appendices</w:t>
      </w:r>
      <w:bookmarkEnd w:id="19"/>
    </w:p>
    <w:p w:rsidR="007F2E02" w:rsidRDefault="00ED2C2A">
      <w:pPr>
        <w:pStyle w:val="ListBullet"/>
        <w:spacing w:after="60"/>
      </w:pPr>
      <w:r>
        <w:rPr>
          <w:b/>
        </w:rPr>
        <w:t xml:space="preserve">A. </w:t>
      </w:r>
      <w:r>
        <w:t>Financial model (Excel) – sheet map and check summary</w:t>
      </w:r>
    </w:p>
    <w:p w:rsidR="007F2E02" w:rsidRDefault="00ED2C2A">
      <w:pPr>
        <w:pStyle w:val="ListBullet"/>
        <w:spacing w:after="60"/>
      </w:pPr>
      <w:r>
        <w:rPr>
          <w:b/>
        </w:rPr>
        <w:t xml:space="preserve">B. </w:t>
      </w:r>
      <w:r>
        <w:t>Monthly income statement, Year 1</w:t>
      </w:r>
    </w:p>
    <w:p w:rsidR="007F2E02" w:rsidRDefault="00ED2C2A">
      <w:pPr>
        <w:pStyle w:val="ListBullet"/>
        <w:spacing w:after="60"/>
      </w:pPr>
      <w:r>
        <w:rPr>
          <w:b/>
        </w:rPr>
        <w:t xml:space="preserve">C. </w:t>
      </w:r>
      <w:r>
        <w:t>Monthly cash flow, Year 1</w:t>
      </w:r>
    </w:p>
    <w:p w:rsidR="007F2E02" w:rsidRDefault="00ED2C2A">
      <w:pPr>
        <w:pStyle w:val="ListBullet"/>
        <w:spacing w:after="60"/>
      </w:pPr>
      <w:r>
        <w:rPr>
          <w:b/>
        </w:rPr>
        <w:t xml:space="preserve">D. </w:t>
      </w:r>
      <w:r>
        <w:t>Debt amortisation schedule, all facilities, sixty months</w:t>
      </w:r>
    </w:p>
    <w:p w:rsidR="007F2E02" w:rsidRDefault="00ED2C2A">
      <w:pPr>
        <w:pStyle w:val="ListBullet"/>
        <w:spacing w:after="60"/>
      </w:pPr>
      <w:r>
        <w:rPr>
          <w:b/>
        </w:rPr>
        <w:t xml:space="preserve">E. </w:t>
      </w:r>
      <w:r>
        <w:t>Equipment quotes</w:t>
      </w:r>
    </w:p>
    <w:p w:rsidR="007F2E02" w:rsidRDefault="00ED2C2A">
      <w:pPr>
        <w:pStyle w:val="ListBullet"/>
        <w:spacing w:after="60"/>
      </w:pPr>
      <w:r>
        <w:rPr>
          <w:b/>
        </w:rPr>
        <w:t xml:space="preserve">F. </w:t>
      </w:r>
      <w:r>
        <w:t>Lease o</w:t>
      </w:r>
      <w:r>
        <w:t>r letter of intent</w:t>
      </w:r>
    </w:p>
    <w:p w:rsidR="007F2E02" w:rsidRDefault="00ED2C2A">
      <w:pPr>
        <w:pStyle w:val="ListBullet"/>
        <w:spacing w:after="60"/>
      </w:pPr>
      <w:r>
        <w:rPr>
          <w:b/>
        </w:rPr>
        <w:t xml:space="preserve">G. </w:t>
      </w:r>
      <w:r>
        <w:t>Founders' résumés and credentials</w:t>
      </w:r>
    </w:p>
    <w:p w:rsidR="007F2E02" w:rsidRDefault="00ED2C2A">
      <w:pPr>
        <w:pStyle w:val="ListBullet"/>
        <w:spacing w:after="60"/>
      </w:pPr>
      <w:r>
        <w:rPr>
          <w:b/>
        </w:rPr>
        <w:t xml:space="preserve">H. </w:t>
      </w:r>
      <w:r>
        <w:t>Market research sources – the numbered endnotes referenced throughout</w:t>
      </w:r>
    </w:p>
    <w:tbl>
      <w:tblPr>
        <w:tblW w:w="0" w:type="auto"/>
        <w:jc w:val="center"/>
        <w:tblBorders>
          <w:top w:val="single" w:sz="4" w:space="0" w:color="F0EBE1"/>
          <w:left w:val="nil"/>
          <w:bottom w:val="single" w:sz="4" w:space="0" w:color="F0EBE1"/>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0EBE1"/>
          </w:tcPr>
          <w:p w:rsidR="007F2E02" w:rsidRDefault="00ED2C2A">
            <w:r>
              <w:rPr>
                <w:b/>
                <w:color w:val="1C3A2F"/>
              </w:rPr>
              <w:t xml:space="preserve">Appendices B and C. </w:t>
            </w:r>
            <w:r>
              <w:rPr>
                <w:sz w:val="20"/>
              </w:rPr>
              <w:t xml:space="preserve">The monthly first year (B and C) is not optional for a seasonal business. A business can be profitable </w:t>
            </w:r>
            <w:r>
              <w:rPr>
                <w:sz w:val="20"/>
              </w:rPr>
              <w:t>across the year and run out of cash in February, and the annual tables will not show it.</w:t>
            </w:r>
          </w:p>
        </w:tc>
      </w:tr>
    </w:tbl>
    <w:p w:rsidR="007F2E02" w:rsidRDefault="007F2E02">
      <w:pPr>
        <w:spacing w:after="40"/>
      </w:pPr>
    </w:p>
    <w:p w:rsidR="007F2E02" w:rsidRDefault="00ED2C2A">
      <w:pPr>
        <w:pStyle w:val="Heading1"/>
      </w:pPr>
      <w:bookmarkStart w:id="20" w:name="_Toc240027445"/>
      <w:r>
        <w:lastRenderedPageBreak/>
        <w:t>Before you send it</w:t>
      </w:r>
      <w:bookmarkEnd w:id="20"/>
    </w:p>
    <w:p w:rsidR="007F2E02" w:rsidRDefault="00ED2C2A">
      <w:r>
        <w:t>The checks a plan passes before it leaves us. Every item was once somebody's error – in a published sample or in one of our own drafts. Run them a</w:t>
      </w:r>
      <w:r>
        <w:t>gainst your document; the first two groups take ten minutes and catch most of what ends a reading.</w:t>
      </w:r>
    </w:p>
    <w:p w:rsidR="007F2E02" w:rsidRDefault="00ED2C2A">
      <w:pPr>
        <w:pStyle w:val="Heading2"/>
      </w:pPr>
      <w:r>
        <w:t>Arithmetic on the page</w:t>
      </w:r>
    </w:p>
    <w:p w:rsidR="007F2E02" w:rsidRDefault="00ED2C2A">
      <w:pPr>
        <w:pStyle w:val="ListBullet"/>
        <w:spacing w:after="60"/>
      </w:pPr>
      <w:r>
        <w:t>The income statement adds down, line by line, in every year, with labour on its own line.</w:t>
      </w:r>
    </w:p>
    <w:p w:rsidR="007F2E02" w:rsidRDefault="00ED2C2A">
      <w:pPr>
        <w:pStyle w:val="ListBullet"/>
        <w:spacing w:after="60"/>
      </w:pPr>
      <w:r>
        <w:t>Every roll-forward closes – opening plus add</w:t>
      </w:r>
      <w:r>
        <w:t>itions less depreciation equals closing – and closing equals the balance sheet.</w:t>
      </w:r>
    </w:p>
    <w:p w:rsidR="007F2E02" w:rsidRDefault="00ED2C2A">
      <w:pPr>
        <w:pStyle w:val="ListBullet"/>
        <w:spacing w:after="60"/>
      </w:pPr>
      <w:r>
        <w:t>Sources equal uses. Percentages reach one hundred.</w:t>
      </w:r>
    </w:p>
    <w:p w:rsidR="007F2E02" w:rsidRDefault="00ED2C2A">
      <w:pPr>
        <w:pStyle w:val="ListBullet"/>
        <w:spacing w:after="60"/>
      </w:pPr>
      <w:r>
        <w:t>The loan box takes its payment, interest and term from one set of inputs.</w:t>
      </w:r>
    </w:p>
    <w:p w:rsidR="007F2E02" w:rsidRDefault="00ED2C2A">
      <w:pPr>
        <w:pStyle w:val="ListBullet"/>
        <w:spacing w:after="60"/>
      </w:pPr>
      <w:r>
        <w:t>The sensitivity table and the headline coverage rat</w:t>
      </w:r>
      <w:r>
        <w:t>io run on the same debt service.</w:t>
      </w:r>
    </w:p>
    <w:p w:rsidR="007F2E02" w:rsidRDefault="00ED2C2A">
      <w:pPr>
        <w:pStyle w:val="Heading2"/>
      </w:pPr>
      <w:r>
        <w:t>One definition per term</w:t>
      </w:r>
    </w:p>
    <w:p w:rsidR="007F2E02" w:rsidRDefault="00ED2C2A">
      <w:pPr>
        <w:pStyle w:val="ListBullet"/>
        <w:spacing w:after="60"/>
      </w:pPr>
      <w:r>
        <w:t>Overhead means the same thing in Part XI and in Part XIV.</w:t>
      </w:r>
    </w:p>
    <w:p w:rsidR="007F2E02" w:rsidRDefault="00ED2C2A">
      <w:pPr>
        <w:pStyle w:val="ListBullet"/>
        <w:spacing w:after="60"/>
      </w:pPr>
      <w:r>
        <w:t>Break-even is labelled EBITDA or cash, never left for the reader to guess.</w:t>
      </w:r>
    </w:p>
    <w:p w:rsidR="007F2E02" w:rsidRDefault="00ED2C2A">
      <w:pPr>
        <w:pStyle w:val="ListBullet"/>
        <w:spacing w:after="60"/>
      </w:pPr>
      <w:r>
        <w:t xml:space="preserve">Break-even month and cash-positive month are two numbers and are </w:t>
      </w:r>
      <w:r>
        <w:t>not swapped.</w:t>
      </w:r>
    </w:p>
    <w:p w:rsidR="007F2E02" w:rsidRDefault="00ED2C2A">
      <w:pPr>
        <w:pStyle w:val="Heading2"/>
      </w:pPr>
      <w:r>
        <w:t>Forecast against document</w:t>
      </w:r>
    </w:p>
    <w:p w:rsidR="007F2E02" w:rsidRDefault="00ED2C2A">
      <w:pPr>
        <w:pStyle w:val="ListBullet"/>
        <w:spacing w:after="60"/>
      </w:pPr>
      <w:r>
        <w:t>Every summary table matches the cells it came from.</w:t>
      </w:r>
    </w:p>
    <w:p w:rsidR="007F2E02" w:rsidRDefault="00ED2C2A">
      <w:pPr>
        <w:pStyle w:val="ListBullet"/>
        <w:spacing w:after="60"/>
      </w:pPr>
      <w:r>
        <w:t>Headline coverage reads the same in the summary, the projections and the funding request.</w:t>
      </w:r>
    </w:p>
    <w:p w:rsidR="007F2E02" w:rsidRDefault="00ED2C2A">
      <w:pPr>
        <w:pStyle w:val="ListBullet"/>
        <w:spacing w:after="60"/>
      </w:pPr>
      <w:r>
        <w:t>Debt service includes every facility, not only the term loan.</w:t>
      </w:r>
    </w:p>
    <w:p w:rsidR="007F2E02" w:rsidRDefault="00ED2C2A">
      <w:pPr>
        <w:pStyle w:val="Heading2"/>
      </w:pPr>
      <w:r>
        <w:t xml:space="preserve">Plausible on </w:t>
      </w:r>
      <w:r>
        <w:t>its face</w:t>
      </w:r>
    </w:p>
    <w:p w:rsidR="007F2E02" w:rsidRDefault="00ED2C2A">
      <w:pPr>
        <w:pStyle w:val="ListBullet"/>
        <w:spacing w:after="60"/>
      </w:pPr>
      <w:r>
        <w:t>Receivable days match how your customers actually pay.</w:t>
      </w:r>
    </w:p>
    <w:p w:rsidR="007F2E02" w:rsidRDefault="00ED2C2A">
      <w:pPr>
        <w:pStyle w:val="ListBullet"/>
        <w:spacing w:after="60"/>
      </w:pPr>
      <w:r>
        <w:t>Prices, wages and costs carry inflation. Five flat years is the signature of a template.</w:t>
      </w:r>
    </w:p>
    <w:p w:rsidR="007F2E02" w:rsidRDefault="00ED2C2A">
      <w:pPr>
        <w:pStyle w:val="ListBullet"/>
        <w:spacing w:after="60"/>
      </w:pPr>
      <w:r>
        <w:t>Margins sit inside the industry benchmark, or the difference is explained.</w:t>
      </w:r>
    </w:p>
    <w:p w:rsidR="007F2E02" w:rsidRDefault="00ED2C2A">
      <w:pPr>
        <w:pStyle w:val="ListBullet"/>
        <w:spacing w:after="60"/>
      </w:pPr>
      <w:r>
        <w:t>Whether the owners pay thems</w:t>
      </w:r>
      <w:r>
        <w:t>elves is stated, and what it does to coverage is shown.</w:t>
      </w:r>
    </w:p>
    <w:p w:rsidR="007F2E02" w:rsidRDefault="00ED2C2A">
      <w:pPr>
        <w:pStyle w:val="Heading2"/>
      </w:pPr>
      <w:r>
        <w:t>Language</w:t>
      </w:r>
    </w:p>
    <w:p w:rsidR="007F2E02" w:rsidRDefault="00ED2C2A">
      <w:pPr>
        <w:pStyle w:val="ListBullet"/>
        <w:spacing w:after="60"/>
      </w:pPr>
      <w:r>
        <w:t>No placeholder figures, no unnamed sources, no sample years – and no braces or grey or gold boxes left from this template.</w:t>
      </w:r>
    </w:p>
    <w:p w:rsidR="007F2E02" w:rsidRDefault="00ED2C2A">
      <w:pPr>
        <w:pStyle w:val="ListBullet"/>
        <w:spacing w:after="60"/>
      </w:pPr>
      <w:r>
        <w:t xml:space="preserve">Every market claim carries a numbered endnote to a real source with </w:t>
      </w:r>
      <w:r>
        <w:t>its year.</w:t>
      </w:r>
    </w:p>
    <w:p w:rsidR="007F2E02" w:rsidRDefault="00ED2C2A">
      <w:pPr>
        <w:pStyle w:val="ListBullet"/>
        <w:spacing w:after="60"/>
      </w:pPr>
      <w:r>
        <w:t>Strengths, weaknesses and advantages are specific enough to be wrong.</w:t>
      </w:r>
    </w:p>
    <w:p w:rsidR="007F2E02" w:rsidRDefault="00ED2C2A">
      <w:pPr>
        <w:pStyle w:val="ListBullet"/>
        <w:spacing w:after="60"/>
      </w:pPr>
      <w:r>
        <w:t>The weakness an analyst would find is named first, with its mitigant.</w:t>
      </w:r>
    </w:p>
    <w:p w:rsidR="007F2E02" w:rsidRDefault="00ED2C2A">
      <w:pPr>
        <w:pStyle w:val="ListBullet"/>
        <w:spacing w:after="60"/>
      </w:pPr>
      <w:r>
        <w:t>The footer carries your company name, not ours.</w:t>
      </w:r>
    </w:p>
    <w:tbl>
      <w:tblPr>
        <w:tblW w:w="0" w:type="auto"/>
        <w:jc w:val="center"/>
        <w:tblBorders>
          <w:top w:val="single" w:sz="4" w:space="0" w:color="F5EDD5"/>
          <w:left w:val="nil"/>
          <w:bottom w:val="single" w:sz="4" w:space="0" w:color="F5EDD5"/>
          <w:right w:val="nil"/>
          <w:insideH w:val="nil"/>
          <w:insideV w:val="nil"/>
        </w:tblBorders>
        <w:tblCellMar>
          <w:top w:w="120" w:type="dxa"/>
          <w:left w:w="160" w:type="dxa"/>
          <w:bottom w:w="120" w:type="dxa"/>
          <w:right w:w="160" w:type="dxa"/>
        </w:tblCellMar>
        <w:tblLook w:val="04A0" w:firstRow="1" w:lastRow="0" w:firstColumn="1" w:lastColumn="0" w:noHBand="0" w:noVBand="1"/>
      </w:tblPr>
      <w:tblGrid>
        <w:gridCol w:w="9632"/>
      </w:tblGrid>
      <w:tr w:rsidR="007F2E02">
        <w:trPr>
          <w:jc w:val="center"/>
        </w:trPr>
        <w:tc>
          <w:tcPr>
            <w:tcW w:w="9632" w:type="dxa"/>
            <w:shd w:val="clear" w:color="auto" w:fill="F5EDD5"/>
          </w:tcPr>
          <w:p w:rsidR="007F2E02" w:rsidRDefault="00ED2C2A">
            <w:r>
              <w:rPr>
                <w:b/>
                <w:color w:val="1C3A2F"/>
              </w:rPr>
              <w:t xml:space="preserve">If you would rather have it read properly. </w:t>
            </w:r>
            <w:r>
              <w:rPr>
                <w:sz w:val="20"/>
              </w:rPr>
              <w:t>A Plan Check is</w:t>
            </w:r>
            <w:r>
              <w:rPr>
                <w:sz w:val="20"/>
              </w:rPr>
              <w:t xml:space="preserve"> a written report on what in your draft would fail at a credit desk – the arithmetic, the definitions, the plausibility, the language – for CA$490, credited in full against any engagement in the firm within sixty days. clarivagroups.ca/business-plan</w:t>
            </w:r>
          </w:p>
        </w:tc>
      </w:tr>
    </w:tbl>
    <w:p w:rsidR="007F2E02" w:rsidRDefault="007F2E02">
      <w:pPr>
        <w:spacing w:after="40"/>
      </w:pPr>
    </w:p>
    <w:p w:rsidR="007F2E02" w:rsidRDefault="00ED2C2A">
      <w:r>
        <w:rPr>
          <w:color w:val="6B6459"/>
          <w:sz w:val="17"/>
        </w:rPr>
        <w:lastRenderedPageBreak/>
        <w:t>Temp</w:t>
      </w:r>
      <w:r>
        <w:rPr>
          <w:color w:val="6B6459"/>
          <w:sz w:val="17"/>
        </w:rPr>
        <w:t>late version September 2026. Program rules, tax rates and the sources named above change; check each the week you file. Nothing in this document is legal, tax or lending advice, and using it does not guarantee financing. Clariva · clarivagroups.ca</w:t>
      </w:r>
    </w:p>
    <w:sectPr w:rsidR="007F2E02" w:rsidSect="00034616">
      <w:footerReference w:type="default" r:id="rId8"/>
      <w:pgSz w:w="12240" w:h="15840"/>
      <w:pgMar w:top="1247" w:right="1304" w:bottom="1247"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D2C2A">
      <w:pPr>
        <w:spacing w:after="0" w:line="240" w:lineRule="auto"/>
      </w:pPr>
      <w:r>
        <w:separator/>
      </w:r>
    </w:p>
  </w:endnote>
  <w:endnote w:type="continuationSeparator" w:id="0">
    <w:p w:rsidR="00000000" w:rsidRDefault="00ED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E02" w:rsidRDefault="00ED2C2A">
    <w:pPr>
      <w:pStyle w:val="Footer"/>
    </w:pPr>
    <w:r>
      <w:rPr>
        <w:color w:val="6B6459"/>
        <w:sz w:val="17"/>
      </w:rPr>
      <w:t xml:space="preserve">Business plan template · Clariva · clarivagroups.ca  –  replace this footer with your company name before sending    ·    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D2C2A">
      <w:pPr>
        <w:spacing w:after="0" w:line="240" w:lineRule="auto"/>
      </w:pPr>
      <w:r>
        <w:separator/>
      </w:r>
    </w:p>
  </w:footnote>
  <w:footnote w:type="continuationSeparator" w:id="0">
    <w:p w:rsidR="00000000" w:rsidRDefault="00ED2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2E02"/>
    <w:rsid w:val="00AA1D8D"/>
    <w:rsid w:val="00B47730"/>
    <w:rsid w:val="00CB0664"/>
    <w:rsid w:val="00ED2C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4D73190-4639-4C0D-B3CE-AE1221E4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pPr>
    <w:rPr>
      <w:rFonts w:ascii="Arial" w:eastAsia="Arial" w:hAnsi="Arial"/>
      <w:color w:val="1C1915"/>
      <w:sz w:val="21"/>
    </w:rPr>
  </w:style>
  <w:style w:type="paragraph" w:styleId="Heading1">
    <w:name w:val="heading 1"/>
    <w:basedOn w:val="Normal"/>
    <w:next w:val="Normal"/>
    <w:link w:val="Heading1Char"/>
    <w:uiPriority w:val="9"/>
    <w:qFormat/>
    <w:rsid w:val="00FC693F"/>
    <w:pPr>
      <w:keepNext/>
      <w:keepLines/>
      <w:pageBreakBefore/>
      <w:outlineLvl w:val="0"/>
    </w:pPr>
    <w:rPr>
      <w:rFonts w:asciiTheme="majorHAnsi" w:eastAsiaTheme="majorEastAsia" w:hAnsiTheme="majorHAnsi" w:cstheme="majorBidi"/>
      <w:b/>
      <w:bCs/>
      <w:color w:val="1C3A2F"/>
      <w:sz w:val="36"/>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C3A2F"/>
      <w:sz w:val="26"/>
      <w:szCs w:val="26"/>
    </w:rPr>
  </w:style>
  <w:style w:type="paragraph" w:styleId="Heading3">
    <w:name w:val="heading 3"/>
    <w:basedOn w:val="Normal"/>
    <w:next w:val="Normal"/>
    <w:link w:val="Heading3Char"/>
    <w:uiPriority w:val="9"/>
    <w:unhideWhenUsed/>
    <w:qFormat/>
    <w:rsid w:val="00FC693F"/>
    <w:pPr>
      <w:keepNext/>
      <w:keepLines/>
      <w:spacing w:before="280"/>
      <w:outlineLvl w:val="2"/>
    </w:pPr>
    <w:rPr>
      <w:rFonts w:asciiTheme="majorHAnsi" w:eastAsiaTheme="majorEastAsia" w:hAnsiTheme="majorHAnsi" w:cstheme="majorBidi"/>
      <w:b/>
      <w:bCs/>
      <w:color w:val="1C3A2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D2C2A"/>
    <w:pPr>
      <w:spacing w:after="100"/>
    </w:pPr>
  </w:style>
  <w:style w:type="character" w:styleId="Hyperlink">
    <w:name w:val="Hyperlink"/>
    <w:basedOn w:val="DefaultParagraphFont"/>
    <w:uiPriority w:val="99"/>
    <w:unhideWhenUsed/>
    <w:rsid w:val="00ED2C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4CB7F-A4D8-4A78-AE05-B7A187720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6512</Words>
  <Characters>37120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Clariva business plan template – for a Canadian bank or CSBFP loan</dc:title>
  <dc:subject>Free business plan template with sources</dc:subject>
  <dc:creator>Clariva</dc:creator>
  <cp:keywords/>
  <dc:description/>
  <cp:lastModifiedBy>Clariva</cp:lastModifiedBy>
  <cp:revision>2</cp:revision>
  <dcterms:created xsi:type="dcterms:W3CDTF">2013-12-23T23:15:00Z</dcterms:created>
  <dcterms:modified xsi:type="dcterms:W3CDTF">2026-09-11T20:56:00Z</dcterms:modified>
  <cp:category/>
</cp:coreProperties>
</file>